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CC4F" w14:textId="1CCA6F33" w:rsidR="00C303E5" w:rsidRPr="00C303E5" w:rsidRDefault="457362C0" w:rsidP="22A837E8">
      <w:pPr>
        <w:pStyle w:val="Title"/>
        <w:rPr>
          <w:rFonts w:eastAsia="Times New Roman"/>
          <w:b/>
          <w:bCs/>
          <w:color w:val="153D63" w:themeColor="text2" w:themeTint="E6"/>
          <w:lang w:eastAsia="en-GB"/>
        </w:rPr>
      </w:pPr>
      <w:r w:rsidRPr="24AF187E">
        <w:rPr>
          <w:rFonts w:eastAsia="Times New Roman"/>
          <w:b/>
          <w:bCs/>
          <w:color w:val="0E2740"/>
          <w:lang w:eastAsia="en-GB"/>
        </w:rPr>
        <w:t>Researcher Development Concordat Implementation Plan (2025-2028)</w:t>
      </w:r>
    </w:p>
    <w:p w14:paraId="31A02677" w14:textId="596D9919" w:rsidR="00CD5B0F" w:rsidRPr="00CD5B0F" w:rsidRDefault="4240BBC3" w:rsidP="22A837E8">
      <w:pPr>
        <w:rPr>
          <w:rFonts w:eastAsia="Times New Roman"/>
          <w:b/>
          <w:bCs/>
          <w:color w:val="153D63" w:themeColor="text2" w:themeTint="E6"/>
          <w:szCs w:val="24"/>
          <w:lang w:eastAsia="en-GB"/>
        </w:rPr>
      </w:pPr>
      <w:r w:rsidRPr="22A837E8">
        <w:rPr>
          <w:rFonts w:eastAsia="Times New Roman"/>
          <w:b/>
          <w:bCs/>
          <w:color w:val="153D63" w:themeColor="text2" w:themeTint="E6"/>
          <w:szCs w:val="24"/>
          <w:lang w:eastAsia="en-GB"/>
        </w:rPr>
        <w:t>Last updated: March 2026</w:t>
      </w:r>
    </w:p>
    <w:p w14:paraId="30D8F873" w14:textId="1489C116" w:rsidR="00CD5B0F" w:rsidRPr="00CD5B0F" w:rsidRDefault="350319E6" w:rsidP="22A837E8">
      <w:pPr>
        <w:pStyle w:val="Heading1"/>
        <w:shd w:val="clear" w:color="auto" w:fill="153D63" w:themeFill="text2" w:themeFillTint="E6"/>
        <w:spacing w:before="120"/>
        <w:rPr>
          <w:b w:val="0"/>
          <w:bCs w:val="0"/>
          <w:color w:val="FFFFFF" w:themeColor="background1"/>
        </w:rPr>
      </w:pPr>
      <w:r w:rsidRPr="24AF187E">
        <w:rPr>
          <w:color w:val="FFFFFF" w:themeColor="background1"/>
        </w:rPr>
        <w:t xml:space="preserve"> </w:t>
      </w:r>
      <w:r w:rsidR="486016B0" w:rsidRPr="24AF187E">
        <w:rPr>
          <w:b w:val="0"/>
          <w:bCs w:val="0"/>
          <w:color w:val="FFFFFF" w:themeColor="background1"/>
        </w:rPr>
        <w:t>Context</w:t>
      </w:r>
    </w:p>
    <w:p w14:paraId="3ADC5578" w14:textId="640E4B09" w:rsidR="00CD5B0F" w:rsidRPr="00531755" w:rsidRDefault="486016B0" w:rsidP="22A837E8">
      <w:pPr>
        <w:spacing w:before="120" w:after="120"/>
        <w:rPr>
          <w:color w:val="000000" w:themeColor="text1"/>
          <w:szCs w:val="24"/>
        </w:rPr>
      </w:pPr>
      <w:r w:rsidRPr="00531755">
        <w:rPr>
          <w:szCs w:val="24"/>
        </w:rPr>
        <w:t>For the purposes of the Concordat, we define researchers as those who do research and are employed on a fixed project or funding basis. Typically, a postdoctoral researcher is someone who has completed their PhD and is employed to work on a project(s) where the funding is for a fixed period, typically focusing on independent or collaborative research under a principal investigator (PI). In some cases, these will be people on teaching-focused contracts who continue to do discipline-based research with a view to gaining an academic position which combines discipline-based research and teaching. This would include approximately 1300 research staff and 150 teaching focused staff. Activities to develop early career academics who focus on teaching and scholarship (scholarship of teaching and learning and pedagogic research) are covered through a different action plan.</w:t>
      </w:r>
    </w:p>
    <w:p w14:paraId="313738DE" w14:textId="15CD2C64" w:rsidR="00CD5B0F" w:rsidRPr="00531755" w:rsidRDefault="486016B0" w:rsidP="22A837E8">
      <w:pPr>
        <w:rPr>
          <w:color w:val="000000" w:themeColor="text1"/>
          <w:szCs w:val="24"/>
        </w:rPr>
      </w:pPr>
      <w:r w:rsidRPr="00531755">
        <w:rPr>
          <w:szCs w:val="24"/>
        </w:rPr>
        <w:t>Our primary audience does not include postgraduate researchers or academic staff on open-ended contracts. However, we seek to expand the broad principles of the Concordat as they provide a helpful reference point for any work we undertake to develop, promote and sustain an effective and inclusive research culture and environment. Our development opportunities are open to all those involved in delivering research.</w:t>
      </w:r>
    </w:p>
    <w:p w14:paraId="2F99F6A5" w14:textId="76B7FD6C" w:rsidR="00CD5B0F" w:rsidRPr="00531755" w:rsidRDefault="486016B0" w:rsidP="22A837E8">
      <w:pPr>
        <w:rPr>
          <w:color w:val="000000" w:themeColor="text1"/>
          <w:szCs w:val="24"/>
        </w:rPr>
      </w:pPr>
      <w:r w:rsidRPr="00531755">
        <w:rPr>
          <w:szCs w:val="24"/>
        </w:rPr>
        <w:t>We recognise that successful implementation of the Concordat is a collaborative effort.  It requires support from the institution and an equal partnership between researchers and their managers. This implementation plan is not designed to be static; it will be updated every six months to reflect changes across our institution, in response to changing priorities, and in line with new university strategies and initiatives.</w:t>
      </w:r>
    </w:p>
    <w:p w14:paraId="3995C2E6" w14:textId="6AD26EC8" w:rsidR="00CD5B0F" w:rsidRPr="00531755" w:rsidRDefault="486016B0" w:rsidP="22A837E8">
      <w:pPr>
        <w:rPr>
          <w:color w:val="000000" w:themeColor="text1"/>
          <w:szCs w:val="24"/>
        </w:rPr>
      </w:pPr>
      <w:r w:rsidRPr="00531755">
        <w:rPr>
          <w:szCs w:val="24"/>
        </w:rPr>
        <w:t>This implementation plan was created by the Researcher Development and Research Culture team (RDRC) in Organisational Development and Professional Learning (OD&amp;PL). It has been agreed by the Researcher Development Steering Group (RDSG), the Research Culture Steering Group (RCSG), and Research and Innovation Board (RIB).</w:t>
      </w:r>
    </w:p>
    <w:p w14:paraId="79CD41EE" w14:textId="048CB5A2" w:rsidR="00CD5B0F" w:rsidRPr="00531755" w:rsidRDefault="03C2CD66" w:rsidP="143EDE2A">
      <w:r>
        <w:t>While the Researcher Development Concordat is structured around three pillars, we have organised our implementation plan into eight themes that better reflect the breadth of our work and create a clearer structure for readers. Each theme includes the mapped Concordat requirements to show how our approach aligns with the national framework while remaining tailored to our institutional priorities.</w:t>
      </w:r>
      <w:r w:rsidR="266931C6">
        <w:t xml:space="preserve"> We have also streamlined this action plan, moving several previous actions to embedded </w:t>
      </w:r>
      <w:r w:rsidR="6F0CD3C6">
        <w:t>in</w:t>
      </w:r>
      <w:r w:rsidR="266931C6">
        <w:t xml:space="preserve"> ongoing </w:t>
      </w:r>
      <w:r w:rsidR="53F231CB">
        <w:t>provision. This demonstrates the progress we have made over the last 5 years.</w:t>
      </w:r>
      <w:r w:rsidR="266931C6">
        <w:t xml:space="preserve"> </w:t>
      </w:r>
    </w:p>
    <w:p w14:paraId="0A7627E4" w14:textId="4ACDC61C" w:rsidR="6C3C559F" w:rsidRDefault="6C3C559F" w:rsidP="6C3C559F">
      <w:pPr>
        <w:spacing w:before="210" w:after="210" w:line="300" w:lineRule="auto"/>
        <w:rPr>
          <w:b/>
          <w:bCs/>
          <w:szCs w:val="24"/>
        </w:rPr>
      </w:pPr>
    </w:p>
    <w:p w14:paraId="59BC8063" w14:textId="311C0A27" w:rsidR="201C4A64" w:rsidRDefault="201C4A64" w:rsidP="6C3C559F">
      <w:pPr>
        <w:spacing w:before="210" w:after="210" w:line="300" w:lineRule="auto"/>
        <w:rPr>
          <w:szCs w:val="24"/>
        </w:rPr>
      </w:pPr>
      <w:r w:rsidRPr="6C3C559F">
        <w:rPr>
          <w:b/>
          <w:bCs/>
          <w:szCs w:val="24"/>
        </w:rPr>
        <w:t>KEY:</w:t>
      </w:r>
      <w:r w:rsidRPr="6C3C559F">
        <w:rPr>
          <w:szCs w:val="24"/>
        </w:rPr>
        <w:t xml:space="preserve"> Researcher Development Concordat principles are shown in brackets, e.g. </w:t>
      </w:r>
      <w:r w:rsidRPr="6C3C559F">
        <w:rPr>
          <w:b/>
          <w:bCs/>
          <w:szCs w:val="24"/>
        </w:rPr>
        <w:t>(EC‑M1)</w:t>
      </w:r>
      <w:r w:rsidRPr="6C3C559F">
        <w:rPr>
          <w:szCs w:val="24"/>
        </w:rPr>
        <w:t>.</w:t>
      </w:r>
      <w:r>
        <w:br/>
      </w:r>
      <w:r w:rsidRPr="6C3C559F">
        <w:rPr>
          <w:szCs w:val="24"/>
        </w:rPr>
        <w:t xml:space="preserve"> The code is structured in three parts:</w:t>
      </w:r>
    </w:p>
    <w:p w14:paraId="4A9C2C30" w14:textId="6774D4EF" w:rsidR="201C4A64" w:rsidRDefault="201C4A64" w:rsidP="6C3C559F">
      <w:pPr>
        <w:pStyle w:val="ListParagraph"/>
        <w:numPr>
          <w:ilvl w:val="0"/>
          <w:numId w:val="1"/>
        </w:numPr>
        <w:spacing w:before="210" w:after="210" w:line="300" w:lineRule="auto"/>
        <w:rPr>
          <w:szCs w:val="24"/>
        </w:rPr>
      </w:pPr>
      <w:r w:rsidRPr="6C3C559F">
        <w:rPr>
          <w:b/>
          <w:bCs/>
          <w:szCs w:val="24"/>
        </w:rPr>
        <w:t>Theme: EC</w:t>
      </w:r>
      <w:r w:rsidRPr="6C3C559F">
        <w:rPr>
          <w:szCs w:val="24"/>
        </w:rPr>
        <w:t xml:space="preserve"> – Environment and Culture, </w:t>
      </w:r>
      <w:r w:rsidRPr="6C3C559F">
        <w:rPr>
          <w:b/>
          <w:bCs/>
          <w:szCs w:val="24"/>
        </w:rPr>
        <w:t>Emp</w:t>
      </w:r>
      <w:r w:rsidRPr="6C3C559F">
        <w:rPr>
          <w:szCs w:val="24"/>
        </w:rPr>
        <w:t xml:space="preserve"> – Employment, </w:t>
      </w:r>
      <w:r w:rsidRPr="6C3C559F">
        <w:rPr>
          <w:b/>
          <w:bCs/>
          <w:szCs w:val="24"/>
        </w:rPr>
        <w:t>PCD</w:t>
      </w:r>
      <w:r w:rsidRPr="6C3C559F">
        <w:rPr>
          <w:szCs w:val="24"/>
        </w:rPr>
        <w:t xml:space="preserve"> – Professional and Career Development</w:t>
      </w:r>
    </w:p>
    <w:p w14:paraId="0C0B81AB" w14:textId="2AA4297C" w:rsidR="201C4A64" w:rsidRDefault="201C4A64" w:rsidP="6C3C559F">
      <w:pPr>
        <w:pStyle w:val="ListParagraph"/>
        <w:numPr>
          <w:ilvl w:val="0"/>
          <w:numId w:val="1"/>
        </w:numPr>
        <w:spacing w:before="210" w:after="210" w:line="300" w:lineRule="auto"/>
        <w:rPr>
          <w:szCs w:val="24"/>
        </w:rPr>
      </w:pPr>
      <w:r w:rsidRPr="6C3C559F">
        <w:rPr>
          <w:b/>
          <w:bCs/>
          <w:szCs w:val="24"/>
        </w:rPr>
        <w:t>Audience / Responsibility Group</w:t>
      </w:r>
      <w:r w:rsidR="333E4D62" w:rsidRPr="6C3C559F">
        <w:rPr>
          <w:b/>
          <w:bCs/>
          <w:szCs w:val="24"/>
        </w:rPr>
        <w:t xml:space="preserve">: </w:t>
      </w:r>
      <w:r w:rsidRPr="6C3C559F">
        <w:rPr>
          <w:b/>
          <w:bCs/>
          <w:szCs w:val="24"/>
        </w:rPr>
        <w:t>I</w:t>
      </w:r>
      <w:r w:rsidRPr="6C3C559F">
        <w:rPr>
          <w:szCs w:val="24"/>
        </w:rPr>
        <w:t xml:space="preserve"> – Institution</w:t>
      </w:r>
      <w:r w:rsidR="5AAB5E81" w:rsidRPr="6C3C559F">
        <w:rPr>
          <w:szCs w:val="24"/>
        </w:rPr>
        <w:t xml:space="preserve">, </w:t>
      </w:r>
      <w:r w:rsidRPr="6C3C559F">
        <w:rPr>
          <w:b/>
          <w:bCs/>
          <w:szCs w:val="24"/>
        </w:rPr>
        <w:t>M</w:t>
      </w:r>
      <w:r w:rsidRPr="6C3C559F">
        <w:rPr>
          <w:szCs w:val="24"/>
        </w:rPr>
        <w:t xml:space="preserve"> – Manager</w:t>
      </w:r>
      <w:r w:rsidR="13A3E0DA" w:rsidRPr="6C3C559F">
        <w:rPr>
          <w:szCs w:val="24"/>
        </w:rPr>
        <w:t xml:space="preserve">, </w:t>
      </w:r>
      <w:r w:rsidRPr="6C3C559F">
        <w:rPr>
          <w:b/>
          <w:bCs/>
          <w:szCs w:val="24"/>
        </w:rPr>
        <w:t>R</w:t>
      </w:r>
      <w:r w:rsidRPr="6C3C559F">
        <w:rPr>
          <w:szCs w:val="24"/>
        </w:rPr>
        <w:t xml:space="preserve"> – Researcher</w:t>
      </w:r>
    </w:p>
    <w:p w14:paraId="7EE21900" w14:textId="23A12D07" w:rsidR="201C4A64" w:rsidRDefault="201C4A64" w:rsidP="6C3C559F">
      <w:pPr>
        <w:pStyle w:val="ListParagraph"/>
        <w:numPr>
          <w:ilvl w:val="0"/>
          <w:numId w:val="1"/>
        </w:numPr>
        <w:spacing w:before="210" w:after="210" w:line="300" w:lineRule="auto"/>
        <w:rPr>
          <w:szCs w:val="24"/>
        </w:rPr>
      </w:pPr>
      <w:r w:rsidRPr="6C3C559F">
        <w:rPr>
          <w:b/>
          <w:bCs/>
          <w:szCs w:val="24"/>
        </w:rPr>
        <w:t>Action Number</w:t>
      </w:r>
      <w:r w:rsidR="24FB79F6" w:rsidRPr="6C3C559F">
        <w:rPr>
          <w:b/>
          <w:bCs/>
          <w:szCs w:val="24"/>
        </w:rPr>
        <w:t xml:space="preserve">: </w:t>
      </w:r>
      <w:r w:rsidRPr="6C3C559F">
        <w:rPr>
          <w:szCs w:val="24"/>
        </w:rPr>
        <w:t>This corresponds to the specific numbered action within the Concordat.</w:t>
      </w:r>
    </w:p>
    <w:p w14:paraId="5F4A34C1" w14:textId="2472115C" w:rsidR="201C4A64" w:rsidRDefault="201C4A64" w:rsidP="6C3C559F">
      <w:pPr>
        <w:spacing w:before="210" w:after="210" w:line="300" w:lineRule="auto"/>
        <w:rPr>
          <w:szCs w:val="24"/>
        </w:rPr>
      </w:pPr>
      <w:r w:rsidRPr="6C3C559F">
        <w:rPr>
          <w:b/>
          <w:bCs/>
          <w:szCs w:val="24"/>
        </w:rPr>
        <w:t>Therefore,</w:t>
      </w:r>
      <w:r w:rsidRPr="6C3C559F">
        <w:rPr>
          <w:szCs w:val="24"/>
        </w:rPr>
        <w:t xml:space="preserve"> </w:t>
      </w:r>
      <w:r w:rsidRPr="6C3C559F">
        <w:rPr>
          <w:i/>
          <w:iCs/>
          <w:szCs w:val="24"/>
        </w:rPr>
        <w:t>EC‑M2</w:t>
      </w:r>
      <w:r w:rsidRPr="6C3C559F">
        <w:rPr>
          <w:szCs w:val="24"/>
        </w:rPr>
        <w:t xml:space="preserve"> refers to </w:t>
      </w:r>
      <w:r w:rsidRPr="6C3C559F">
        <w:rPr>
          <w:i/>
          <w:iCs/>
          <w:szCs w:val="24"/>
        </w:rPr>
        <w:t>Environment and Culture</w:t>
      </w:r>
      <w:r w:rsidRPr="6C3C559F">
        <w:rPr>
          <w:szCs w:val="24"/>
        </w:rPr>
        <w:t xml:space="preserve">, under </w:t>
      </w:r>
      <w:r w:rsidRPr="6C3C559F">
        <w:rPr>
          <w:i/>
          <w:iCs/>
          <w:szCs w:val="24"/>
        </w:rPr>
        <w:t>Manager responsibilities</w:t>
      </w:r>
      <w:r w:rsidRPr="6C3C559F">
        <w:rPr>
          <w:szCs w:val="24"/>
        </w:rPr>
        <w:t xml:space="preserve">, action </w:t>
      </w:r>
      <w:r w:rsidRPr="6C3C559F">
        <w:rPr>
          <w:i/>
          <w:iCs/>
          <w:szCs w:val="24"/>
        </w:rPr>
        <w:t>number 2</w:t>
      </w:r>
      <w:r w:rsidRPr="6C3C559F">
        <w:rPr>
          <w:szCs w:val="24"/>
        </w:rPr>
        <w:t>.</w:t>
      </w:r>
    </w:p>
    <w:p w14:paraId="20858815" w14:textId="757B697B" w:rsidR="6C3C559F" w:rsidRDefault="6C3C559F"/>
    <w:p w14:paraId="1DDE7D81" w14:textId="482CF551" w:rsidR="00CD5B0F" w:rsidRPr="00CD5B0F" w:rsidRDefault="5805B184" w:rsidP="22A837E8">
      <w:pPr>
        <w:pStyle w:val="Heading1"/>
        <w:shd w:val="clear" w:color="auto" w:fill="153D63" w:themeFill="text2" w:themeFillTint="E6"/>
        <w:spacing w:before="0"/>
        <w:rPr>
          <w:rFonts w:eastAsia="Times New Roman"/>
          <w:b w:val="0"/>
          <w:bCs w:val="0"/>
          <w:color w:val="FFFFFF" w:themeColor="background1"/>
          <w:lang w:eastAsia="en-GB"/>
        </w:rPr>
      </w:pPr>
      <w:r w:rsidRPr="22A837E8">
        <w:rPr>
          <w:rFonts w:eastAsia="Times New Roman"/>
          <w:color w:val="FFFFFF" w:themeColor="background1"/>
          <w:lang w:eastAsia="en-GB"/>
        </w:rPr>
        <w:t xml:space="preserve"> </w:t>
      </w:r>
      <w:r w:rsidR="62EEEB33" w:rsidRPr="22A837E8">
        <w:rPr>
          <w:rFonts w:eastAsia="Times New Roman"/>
          <w:b w:val="0"/>
          <w:bCs w:val="0"/>
          <w:color w:val="FFFFFF" w:themeColor="background1"/>
          <w:lang w:eastAsia="en-GB"/>
        </w:rPr>
        <w:t>T</w:t>
      </w:r>
      <w:r w:rsidR="05947413" w:rsidRPr="22A837E8">
        <w:rPr>
          <w:rFonts w:eastAsia="Times New Roman"/>
          <w:b w:val="0"/>
          <w:bCs w:val="0"/>
          <w:color w:val="FFFFFF" w:themeColor="background1"/>
          <w:lang w:eastAsia="en-GB"/>
        </w:rPr>
        <w:t>heme 1 — Concordat Awareness, Communication &amp; Engagement</w:t>
      </w:r>
    </w:p>
    <w:p w14:paraId="59BD7267" w14:textId="52B0B239" w:rsidR="23FE0A3E" w:rsidRPr="006D5B62" w:rsidRDefault="23FE0A3E" w:rsidP="00E87733">
      <w:pPr>
        <w:spacing w:before="120"/>
      </w:pPr>
      <w:r w:rsidRPr="006D5B62">
        <w:t>This theme focuses on ensuring the Concordat is clearly communicated, widely understood, and meaningfully shaped by researchers and managers across the institution.</w:t>
      </w:r>
    </w:p>
    <w:p w14:paraId="4070D36F" w14:textId="2E889EBD" w:rsidR="0017268E" w:rsidRDefault="4FD24ACB" w:rsidP="143EDE2A">
      <w:pPr>
        <w:pStyle w:val="Heading2"/>
        <w:spacing w:after="240"/>
        <w:rPr>
          <w:color w:val="153D63" w:themeColor="text2" w:themeTint="E6"/>
        </w:rPr>
      </w:pPr>
      <w:r w:rsidRPr="24F8A5F8">
        <w:rPr>
          <w:color w:val="153D63" w:themeColor="text2" w:themeTint="E6"/>
        </w:rPr>
        <w:t xml:space="preserve">Planned </w:t>
      </w:r>
      <w:r w:rsidR="53D9F294" w:rsidRPr="24F8A5F8">
        <w:rPr>
          <w:color w:val="153D63" w:themeColor="text2" w:themeTint="E6"/>
        </w:rPr>
        <w:t>a</w:t>
      </w:r>
      <w:r w:rsidRPr="24F8A5F8">
        <w:rPr>
          <w:color w:val="153D63" w:themeColor="text2" w:themeTint="E6"/>
        </w:rPr>
        <w:t>ctions:</w:t>
      </w:r>
    </w:p>
    <w:tbl>
      <w:tblPr>
        <w:tblStyle w:val="TableGrid"/>
        <w:tblW w:w="9997"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70"/>
        <w:gridCol w:w="4065"/>
        <w:gridCol w:w="1050"/>
        <w:gridCol w:w="1012"/>
      </w:tblGrid>
      <w:tr w:rsidR="0065388B" w14:paraId="758DF1D4" w14:textId="77777777" w:rsidTr="106549D5">
        <w:trPr>
          <w:trHeight w:val="495"/>
        </w:trPr>
        <w:tc>
          <w:tcPr>
            <w:tcW w:w="3870" w:type="dxa"/>
            <w:shd w:val="clear" w:color="auto" w:fill="A5C9EB" w:themeFill="text2" w:themeFillTint="40"/>
            <w:vAlign w:val="center"/>
          </w:tcPr>
          <w:p w14:paraId="2AA2C625" w14:textId="0C24131D" w:rsidR="0065388B" w:rsidRDefault="44C3E429" w:rsidP="24F8A5F8">
            <w:pPr>
              <w:rPr>
                <w:b/>
                <w:bCs/>
                <w:color w:val="FFFFFF" w:themeColor="background1"/>
                <w:szCs w:val="24"/>
              </w:rPr>
            </w:pPr>
            <w:r w:rsidRPr="24F8A5F8">
              <w:rPr>
                <w:b/>
                <w:bCs/>
                <w:szCs w:val="24"/>
              </w:rPr>
              <w:t>Action</w:t>
            </w:r>
          </w:p>
        </w:tc>
        <w:tc>
          <w:tcPr>
            <w:tcW w:w="4065" w:type="dxa"/>
            <w:shd w:val="clear" w:color="auto" w:fill="A5C9EB" w:themeFill="text2" w:themeFillTint="40"/>
            <w:vAlign w:val="center"/>
          </w:tcPr>
          <w:p w14:paraId="419843B2" w14:textId="576DA5F8" w:rsidR="0065388B" w:rsidRDefault="77B58A08" w:rsidP="24F8A5F8">
            <w:pPr>
              <w:rPr>
                <w:b/>
                <w:bCs/>
                <w:color w:val="FFFFFF" w:themeColor="background1"/>
                <w:szCs w:val="24"/>
              </w:rPr>
            </w:pPr>
            <w:r w:rsidRPr="24F8A5F8">
              <w:rPr>
                <w:b/>
                <w:bCs/>
                <w:szCs w:val="24"/>
              </w:rPr>
              <w:t>Success</w:t>
            </w:r>
          </w:p>
        </w:tc>
        <w:tc>
          <w:tcPr>
            <w:tcW w:w="1050" w:type="dxa"/>
            <w:shd w:val="clear" w:color="auto" w:fill="A5C9EB" w:themeFill="text2" w:themeFillTint="40"/>
            <w:vAlign w:val="center"/>
          </w:tcPr>
          <w:p w14:paraId="0969DDBB" w14:textId="714DB183" w:rsidR="0065388B" w:rsidRDefault="77B58A08" w:rsidP="24F8A5F8">
            <w:pPr>
              <w:jc w:val="center"/>
              <w:rPr>
                <w:b/>
                <w:bCs/>
                <w:color w:val="FFFFFF" w:themeColor="background1"/>
                <w:szCs w:val="24"/>
              </w:rPr>
            </w:pPr>
            <w:r w:rsidRPr="24F8A5F8">
              <w:rPr>
                <w:b/>
                <w:bCs/>
                <w:szCs w:val="24"/>
              </w:rPr>
              <w:t>Lead</w:t>
            </w:r>
          </w:p>
        </w:tc>
        <w:tc>
          <w:tcPr>
            <w:tcW w:w="1012" w:type="dxa"/>
            <w:shd w:val="clear" w:color="auto" w:fill="A5C9EB" w:themeFill="text2" w:themeFillTint="40"/>
            <w:vAlign w:val="center"/>
          </w:tcPr>
          <w:p w14:paraId="3D6C0F26" w14:textId="1E21A64B" w:rsidR="0065388B" w:rsidRDefault="68BDC9BD" w:rsidP="24F8A5F8">
            <w:pPr>
              <w:jc w:val="center"/>
              <w:rPr>
                <w:b/>
                <w:bCs/>
                <w:szCs w:val="24"/>
              </w:rPr>
            </w:pPr>
            <w:r w:rsidRPr="24F8A5F8">
              <w:rPr>
                <w:b/>
                <w:bCs/>
                <w:szCs w:val="24"/>
              </w:rPr>
              <w:t>Due</w:t>
            </w:r>
          </w:p>
        </w:tc>
      </w:tr>
      <w:tr w:rsidR="0065388B" w14:paraId="18F57F0A" w14:textId="77777777" w:rsidTr="106549D5">
        <w:trPr>
          <w:trHeight w:val="3540"/>
        </w:trPr>
        <w:tc>
          <w:tcPr>
            <w:tcW w:w="3870" w:type="dxa"/>
          </w:tcPr>
          <w:p w14:paraId="618347BA" w14:textId="042FAAA0" w:rsidR="0065388B" w:rsidRDefault="0B962C54" w:rsidP="24F8A5F8">
            <w:pPr>
              <w:spacing w:before="120"/>
            </w:pPr>
            <w:r w:rsidRPr="24F8A5F8">
              <w:t xml:space="preserve">Deliver a coordinated Concordat awareness and engagement programme through a monthly </w:t>
            </w:r>
            <w:r w:rsidRPr="24F8A5F8">
              <w:rPr>
                <w:b/>
                <w:bCs/>
              </w:rPr>
              <w:t xml:space="preserve">Pathfinder </w:t>
            </w:r>
            <w:r w:rsidRPr="24F8A5F8">
              <w:t>research staff newsletter and regular engagement activities, including monthly Concordat‑focused communications and quarterly Q&amp;A sessions, with additional briefings to Schools and Faculties as needed.</w:t>
            </w:r>
          </w:p>
        </w:tc>
        <w:tc>
          <w:tcPr>
            <w:tcW w:w="4065" w:type="dxa"/>
          </w:tcPr>
          <w:p w14:paraId="4345F9DC" w14:textId="6F7155E7" w:rsidR="0065388B" w:rsidRDefault="50BA7B71" w:rsidP="24F8A5F8">
            <w:pPr>
              <w:spacing w:before="120"/>
              <w:rPr>
                <w:rFonts w:ascii="Calibri" w:eastAsia="Calibri" w:hAnsi="Calibri" w:cs="Calibri"/>
                <w:color w:val="000000" w:themeColor="text1"/>
                <w:sz w:val="20"/>
                <w:szCs w:val="20"/>
              </w:rPr>
            </w:pPr>
            <w:r w:rsidRPr="24F8A5F8">
              <w:t xml:space="preserve">Deliver 12 Concordat Awareness activities per year (e.g., themed posts, videos, case studies, spotlight features), tracked in an activity log. </w:t>
            </w:r>
          </w:p>
          <w:p w14:paraId="24ED01BB" w14:textId="6FB2AF2A" w:rsidR="0065388B" w:rsidRDefault="50BA7B71" w:rsidP="24F8A5F8">
            <w:pPr>
              <w:spacing w:before="120"/>
              <w:rPr>
                <w:rFonts w:ascii="Calibri" w:eastAsia="Calibri" w:hAnsi="Calibri" w:cs="Calibri"/>
                <w:color w:val="000000" w:themeColor="text1"/>
                <w:sz w:val="20"/>
                <w:szCs w:val="20"/>
              </w:rPr>
            </w:pPr>
            <w:r w:rsidRPr="24F8A5F8">
              <w:t>Host four Concordat Q&amp;A sessions annually, with a target attendance of at least 25 participants per session.</w:t>
            </w:r>
          </w:p>
          <w:p w14:paraId="6A7345E8" w14:textId="6E9A3855" w:rsidR="0065388B" w:rsidRDefault="50BA7B71" w:rsidP="24F8A5F8">
            <w:pPr>
              <w:spacing w:before="120"/>
              <w:rPr>
                <w:rFonts w:ascii="Calibri" w:eastAsia="Calibri" w:hAnsi="Calibri" w:cs="Calibri"/>
                <w:color w:val="000000" w:themeColor="text1"/>
                <w:sz w:val="20"/>
                <w:szCs w:val="20"/>
              </w:rPr>
            </w:pPr>
            <w:r w:rsidRPr="24F8A5F8">
              <w:t xml:space="preserve">Achieve an initial open rate of 40%, increasing to 50% by March 2027. </w:t>
            </w:r>
          </w:p>
          <w:p w14:paraId="04639233" w14:textId="3107EEFB" w:rsidR="0065388B" w:rsidRDefault="50BA7B71" w:rsidP="00400259">
            <w:pPr>
              <w:spacing w:before="120" w:after="120"/>
              <w:rPr>
                <w:rFonts w:ascii="Calibri" w:eastAsia="Calibri" w:hAnsi="Calibri" w:cs="Calibri"/>
                <w:color w:val="000000" w:themeColor="text1"/>
                <w:sz w:val="20"/>
                <w:szCs w:val="20"/>
              </w:rPr>
            </w:pPr>
            <w:r w:rsidRPr="24F8A5F8">
              <w:t>Include at least one Concordat</w:t>
            </w:r>
            <w:r w:rsidR="0D5EC559" w:rsidRPr="24F8A5F8">
              <w:t xml:space="preserve"> </w:t>
            </w:r>
            <w:r w:rsidRPr="24F8A5F8">
              <w:t>linked feature in each monthly issue.</w:t>
            </w:r>
          </w:p>
        </w:tc>
        <w:tc>
          <w:tcPr>
            <w:tcW w:w="1050" w:type="dxa"/>
          </w:tcPr>
          <w:p w14:paraId="7AEC6A04" w14:textId="1059E47C" w:rsidR="0065388B" w:rsidRDefault="50BA7B71" w:rsidP="00E87733">
            <w:pPr>
              <w:spacing w:before="120" w:after="120"/>
              <w:jc w:val="center"/>
            </w:pPr>
            <w:r>
              <w:t>RDRC Team</w:t>
            </w:r>
          </w:p>
        </w:tc>
        <w:tc>
          <w:tcPr>
            <w:tcW w:w="1012" w:type="dxa"/>
          </w:tcPr>
          <w:p w14:paraId="5AAC2432" w14:textId="34D2CBEB" w:rsidR="0065388B" w:rsidRDefault="50BA7B71" w:rsidP="00E87733">
            <w:pPr>
              <w:spacing w:before="120" w:after="120"/>
              <w:jc w:val="center"/>
            </w:pPr>
            <w:r>
              <w:t>March 2027</w:t>
            </w:r>
          </w:p>
        </w:tc>
      </w:tr>
      <w:tr w:rsidR="0065388B" w14:paraId="3306102B" w14:textId="77777777" w:rsidTr="106549D5">
        <w:tc>
          <w:tcPr>
            <w:tcW w:w="3870" w:type="dxa"/>
          </w:tcPr>
          <w:p w14:paraId="1D175330" w14:textId="6843F430" w:rsidR="0065388B" w:rsidRDefault="3F00EBD2" w:rsidP="24F8A5F8">
            <w:pPr>
              <w:spacing w:before="120" w:after="120"/>
              <w:rPr>
                <w:rFonts w:ascii="Aptos Display" w:hAnsi="Aptos Display"/>
                <w:b/>
                <w:bCs/>
                <w:color w:val="156082" w:themeColor="accent1"/>
                <w:sz w:val="26"/>
                <w:szCs w:val="26"/>
              </w:rPr>
            </w:pPr>
            <w:r w:rsidRPr="24F8A5F8">
              <w:t>Hold 2 open discussions a year with senior leaders including the DVCs, Dean of Research Culture, Chair of the Researcher Development Steering Group and HR.</w:t>
            </w:r>
          </w:p>
        </w:tc>
        <w:tc>
          <w:tcPr>
            <w:tcW w:w="4065" w:type="dxa"/>
          </w:tcPr>
          <w:p w14:paraId="22DF26E4" w14:textId="21329BC1" w:rsidR="0065388B" w:rsidRDefault="3F00EBD2" w:rsidP="24F8A5F8">
            <w:pPr>
              <w:spacing w:before="120" w:after="120"/>
              <w:rPr>
                <w:rFonts w:ascii="Aptos Display" w:hAnsi="Aptos Display"/>
                <w:b/>
                <w:bCs/>
                <w:color w:val="156082" w:themeColor="accent1"/>
                <w:sz w:val="26"/>
                <w:szCs w:val="26"/>
              </w:rPr>
            </w:pPr>
            <w:r w:rsidRPr="24F8A5F8">
              <w:t>Attendance figures (20-25) ECRs per event) and creation of blog articles. Topics raised at these fora feed into planning and development, and participants receive feedback on any resulting actions.</w:t>
            </w:r>
          </w:p>
        </w:tc>
        <w:tc>
          <w:tcPr>
            <w:tcW w:w="1050" w:type="dxa"/>
          </w:tcPr>
          <w:p w14:paraId="65E3B31F" w14:textId="6192EC10" w:rsidR="0065388B" w:rsidRDefault="3F00EBD2" w:rsidP="00E87733">
            <w:pPr>
              <w:spacing w:before="120" w:after="120"/>
              <w:jc w:val="center"/>
            </w:pPr>
            <w:r>
              <w:t>RDRC Team</w:t>
            </w:r>
          </w:p>
        </w:tc>
        <w:tc>
          <w:tcPr>
            <w:tcW w:w="1012" w:type="dxa"/>
          </w:tcPr>
          <w:p w14:paraId="6B5B923D" w14:textId="05918371" w:rsidR="0065388B" w:rsidRDefault="3F00EBD2" w:rsidP="00E87733">
            <w:pPr>
              <w:spacing w:before="120" w:after="120"/>
              <w:jc w:val="center"/>
            </w:pPr>
            <w:r>
              <w:t>April 2026 Oct 2026</w:t>
            </w:r>
          </w:p>
        </w:tc>
      </w:tr>
      <w:tr w:rsidR="0065388B" w14:paraId="4B5BD9CE" w14:textId="77777777" w:rsidTr="106549D5">
        <w:tc>
          <w:tcPr>
            <w:tcW w:w="3870" w:type="dxa"/>
          </w:tcPr>
          <w:p w14:paraId="0AA70B94" w14:textId="1DC800C4" w:rsidR="0065388B" w:rsidRDefault="6E749937" w:rsidP="24F8A5F8">
            <w:pPr>
              <w:spacing w:before="120" w:after="120"/>
              <w:rPr>
                <w:rFonts w:ascii="Aptos Display" w:hAnsi="Aptos Display"/>
                <w:b/>
                <w:bCs/>
                <w:color w:val="156082" w:themeColor="accent1"/>
                <w:sz w:val="26"/>
                <w:szCs w:val="26"/>
              </w:rPr>
            </w:pPr>
            <w:r w:rsidRPr="24F8A5F8">
              <w:lastRenderedPageBreak/>
              <w:t xml:space="preserve">Deliver the bi-annual UoL research staff survey, in addition to pulse surveys and University wide surveys.  </w:t>
            </w:r>
          </w:p>
        </w:tc>
        <w:tc>
          <w:tcPr>
            <w:tcW w:w="4065" w:type="dxa"/>
          </w:tcPr>
          <w:p w14:paraId="4573EAF5" w14:textId="2E7A9FFE" w:rsidR="0065388B" w:rsidRDefault="6E749937" w:rsidP="24F8A5F8">
            <w:pPr>
              <w:spacing w:before="120" w:after="120"/>
              <w:rPr>
                <w:rFonts w:ascii="Aptos" w:eastAsia="Aptos" w:hAnsi="Aptos" w:cs="Aptos"/>
              </w:rPr>
            </w:pPr>
            <w:r w:rsidRPr="24F8A5F8">
              <w:t>Completion of the survey aiming for 20% response rate; review of outcomes to inform continuous improvement, overseen by the RDSG and communicated to stakeholders.</w:t>
            </w:r>
          </w:p>
        </w:tc>
        <w:tc>
          <w:tcPr>
            <w:tcW w:w="1050" w:type="dxa"/>
          </w:tcPr>
          <w:p w14:paraId="0B0989B5" w14:textId="45ABD028" w:rsidR="0065388B" w:rsidRDefault="6E749937" w:rsidP="00E87733">
            <w:pPr>
              <w:spacing w:before="120" w:after="120"/>
              <w:jc w:val="center"/>
            </w:pPr>
            <w:r>
              <w:t>RDRC Team</w:t>
            </w:r>
          </w:p>
        </w:tc>
        <w:tc>
          <w:tcPr>
            <w:tcW w:w="1012" w:type="dxa"/>
          </w:tcPr>
          <w:p w14:paraId="07F489EC" w14:textId="728BD0BC" w:rsidR="0065388B" w:rsidRDefault="6E749937" w:rsidP="00E87733">
            <w:pPr>
              <w:spacing w:before="120" w:after="120"/>
              <w:jc w:val="center"/>
            </w:pPr>
            <w:r>
              <w:t>Sept 2026</w:t>
            </w:r>
          </w:p>
        </w:tc>
      </w:tr>
      <w:tr w:rsidR="0065388B" w14:paraId="74917881" w14:textId="77777777" w:rsidTr="106549D5">
        <w:tc>
          <w:tcPr>
            <w:tcW w:w="3870" w:type="dxa"/>
          </w:tcPr>
          <w:p w14:paraId="1DBFA115" w14:textId="154BF5F2" w:rsidR="0065388B" w:rsidRDefault="08E45B11" w:rsidP="24F8A5F8">
            <w:pPr>
              <w:spacing w:before="120" w:after="120"/>
              <w:rPr>
                <w:rFonts w:ascii="Aptos" w:eastAsia="Aptos" w:hAnsi="Aptos" w:cs="Aptos"/>
              </w:rPr>
            </w:pPr>
            <w:r w:rsidRPr="24F8A5F8">
              <w:t>Undertake a pilot project to create Concordat Champions, institutional level postdoctoral representatives with a formal job role and active members of the ECR action group.</w:t>
            </w:r>
          </w:p>
        </w:tc>
        <w:tc>
          <w:tcPr>
            <w:tcW w:w="4065" w:type="dxa"/>
          </w:tcPr>
          <w:p w14:paraId="3688713E" w14:textId="78605F2B" w:rsidR="0065388B" w:rsidRDefault="08E45B11" w:rsidP="24F8A5F8">
            <w:pPr>
              <w:spacing w:before="120" w:after="120"/>
              <w:rPr>
                <w:rFonts w:ascii="Aptos" w:eastAsia="Aptos" w:hAnsi="Aptos" w:cs="Aptos"/>
              </w:rPr>
            </w:pPr>
            <w:r w:rsidRPr="24F8A5F8">
              <w:t>Number of applications received. Recruitment of between 4-6 champions in the first year. Review roles annually.</w:t>
            </w:r>
          </w:p>
          <w:p w14:paraId="5B937606" w14:textId="74260987" w:rsidR="0065388B" w:rsidRDefault="0065388B" w:rsidP="24F8A5F8">
            <w:pPr>
              <w:spacing w:before="120" w:after="120"/>
            </w:pPr>
          </w:p>
        </w:tc>
        <w:tc>
          <w:tcPr>
            <w:tcW w:w="1050" w:type="dxa"/>
          </w:tcPr>
          <w:p w14:paraId="4323A463" w14:textId="403798D7" w:rsidR="0065388B" w:rsidRDefault="08E45B11" w:rsidP="00E87733">
            <w:pPr>
              <w:spacing w:before="120" w:after="120"/>
              <w:jc w:val="center"/>
            </w:pPr>
            <w:r>
              <w:t>RDRC Team</w:t>
            </w:r>
          </w:p>
        </w:tc>
        <w:tc>
          <w:tcPr>
            <w:tcW w:w="1012" w:type="dxa"/>
          </w:tcPr>
          <w:p w14:paraId="49664C7F" w14:textId="386E65B0" w:rsidR="0065388B" w:rsidRDefault="08E45B11" w:rsidP="00E87733">
            <w:pPr>
              <w:spacing w:before="120" w:after="120"/>
              <w:jc w:val="center"/>
            </w:pPr>
            <w:r>
              <w:t>Dec 2027</w:t>
            </w:r>
          </w:p>
        </w:tc>
      </w:tr>
      <w:tr w:rsidR="24F8A5F8" w14:paraId="474DFAF0" w14:textId="77777777" w:rsidTr="106549D5">
        <w:trPr>
          <w:trHeight w:val="300"/>
        </w:trPr>
        <w:tc>
          <w:tcPr>
            <w:tcW w:w="3870" w:type="dxa"/>
          </w:tcPr>
          <w:p w14:paraId="7267894A" w14:textId="5C13E9A3" w:rsidR="011235C0" w:rsidRDefault="011235C0" w:rsidP="24F8A5F8">
            <w:pPr>
              <w:spacing w:before="120" w:after="120"/>
            </w:pPr>
            <w:r w:rsidRPr="24F8A5F8">
              <w:t xml:space="preserve">Host Concordat themed focus groups to ensure research staff have an opportunity to co-create our 2028 Concordat Implementation Plan. </w:t>
            </w:r>
          </w:p>
        </w:tc>
        <w:tc>
          <w:tcPr>
            <w:tcW w:w="4065" w:type="dxa"/>
          </w:tcPr>
          <w:p w14:paraId="154A50AC" w14:textId="0421F85C" w:rsidR="011235C0" w:rsidRDefault="011235C0" w:rsidP="24F8A5F8">
            <w:pPr>
              <w:spacing w:before="120" w:after="120"/>
              <w:rPr>
                <w:rFonts w:ascii="Calibri" w:eastAsia="Calibri" w:hAnsi="Calibri" w:cs="Calibri"/>
                <w:color w:val="000000" w:themeColor="text1"/>
                <w:sz w:val="20"/>
                <w:szCs w:val="20"/>
              </w:rPr>
            </w:pPr>
            <w:r w:rsidRPr="24F8A5F8">
              <w:t xml:space="preserve">15-20 participants per theme increasing to 30 after one year. Attendance and positive feedback received. </w:t>
            </w:r>
          </w:p>
        </w:tc>
        <w:tc>
          <w:tcPr>
            <w:tcW w:w="1050" w:type="dxa"/>
          </w:tcPr>
          <w:p w14:paraId="41A104CE" w14:textId="48E9C5D3" w:rsidR="011235C0" w:rsidRDefault="011235C0" w:rsidP="00E87733">
            <w:pPr>
              <w:spacing w:before="120" w:after="120"/>
              <w:jc w:val="center"/>
            </w:pPr>
            <w:r>
              <w:t>RDRC Team</w:t>
            </w:r>
          </w:p>
        </w:tc>
        <w:tc>
          <w:tcPr>
            <w:tcW w:w="1012" w:type="dxa"/>
          </w:tcPr>
          <w:p w14:paraId="3A98079A" w14:textId="1EBD00D1" w:rsidR="011235C0" w:rsidRDefault="011235C0" w:rsidP="00E87733">
            <w:pPr>
              <w:spacing w:before="120" w:after="120"/>
              <w:jc w:val="center"/>
            </w:pPr>
            <w:r>
              <w:t>Dec 2027</w:t>
            </w:r>
          </w:p>
        </w:tc>
      </w:tr>
    </w:tbl>
    <w:p w14:paraId="52BA3279" w14:textId="55EEE22D" w:rsidR="106549D5" w:rsidRDefault="106549D5" w:rsidP="106549D5">
      <w:pPr>
        <w:pStyle w:val="Heading2"/>
        <w:keepNext w:val="0"/>
        <w:keepLines w:val="0"/>
        <w:widowControl w:val="0"/>
        <w:spacing w:before="0" w:after="120"/>
        <w:rPr>
          <w:color w:val="0E2740"/>
        </w:rPr>
      </w:pPr>
    </w:p>
    <w:p w14:paraId="04A866A2" w14:textId="6D27D109" w:rsidR="0017268E" w:rsidRDefault="4FD24ACB" w:rsidP="106549D5">
      <w:pPr>
        <w:pStyle w:val="Heading2"/>
        <w:keepNext w:val="0"/>
        <w:keepLines w:val="0"/>
        <w:widowControl w:val="0"/>
        <w:spacing w:before="0" w:after="120"/>
        <w:rPr>
          <w:color w:val="153D63" w:themeColor="text2" w:themeTint="E6"/>
        </w:rPr>
      </w:pPr>
      <w:r w:rsidRPr="106549D5">
        <w:rPr>
          <w:color w:val="0E2740"/>
        </w:rPr>
        <w:t xml:space="preserve">Previous </w:t>
      </w:r>
      <w:r w:rsidR="53D9F294" w:rsidRPr="106549D5">
        <w:rPr>
          <w:color w:val="0E2740"/>
        </w:rPr>
        <w:t>a</w:t>
      </w:r>
      <w:r w:rsidRPr="106549D5">
        <w:rPr>
          <w:color w:val="0E2740"/>
        </w:rPr>
        <w:t xml:space="preserve">ctions </w:t>
      </w:r>
      <w:r w:rsidR="53D9F294" w:rsidRPr="106549D5">
        <w:rPr>
          <w:color w:val="0E2740"/>
        </w:rPr>
        <w:t>e</w:t>
      </w:r>
      <w:r w:rsidRPr="106549D5">
        <w:rPr>
          <w:color w:val="0E2740"/>
        </w:rPr>
        <w:t xml:space="preserve">mbedded as </w:t>
      </w:r>
      <w:r w:rsidR="53D9F294" w:rsidRPr="106549D5">
        <w:rPr>
          <w:color w:val="0E2740"/>
        </w:rPr>
        <w:t>ongoing provision:</w:t>
      </w:r>
    </w:p>
    <w:p w14:paraId="3D3DD76A" w14:textId="2E0FD681" w:rsidR="00C446B2" w:rsidRPr="009B674B" w:rsidRDefault="0B43394A" w:rsidP="143EDE2A">
      <w:pPr>
        <w:pStyle w:val="ListParagraph"/>
        <w:numPr>
          <w:ilvl w:val="0"/>
          <w:numId w:val="21"/>
        </w:numPr>
        <w:rPr>
          <w:szCs w:val="24"/>
        </w:rPr>
      </w:pPr>
      <w:r w:rsidRPr="009B674B">
        <w:rPr>
          <w:szCs w:val="24"/>
        </w:rPr>
        <w:t>Deliver and evaluate a Concordat communication plan led from OD&amp;PL, including the website, resources, LinkedIn and our Research Culture Uncovered Podcast.</w:t>
      </w:r>
    </w:p>
    <w:p w14:paraId="0E2F513F" w14:textId="41B52FD3" w:rsidR="59C3AE98" w:rsidRPr="009B674B" w:rsidRDefault="59C3AE98" w:rsidP="24F8A5F8">
      <w:pPr>
        <w:pStyle w:val="ListParagraph"/>
        <w:numPr>
          <w:ilvl w:val="0"/>
          <w:numId w:val="21"/>
        </w:numPr>
        <w:rPr>
          <w:szCs w:val="24"/>
        </w:rPr>
      </w:pPr>
      <w:r w:rsidRPr="009B674B">
        <w:rPr>
          <w:rFonts w:ascii="Aptos" w:hAnsi="Aptos"/>
          <w:color w:val="000000" w:themeColor="text1"/>
          <w:szCs w:val="24"/>
        </w:rPr>
        <w:t>Maintain a Researcher Development Steering Group (RDSG), reporting to our Research Culture Steering Group, and Research and Innovation Board.</w:t>
      </w:r>
    </w:p>
    <w:p w14:paraId="3A73ED12" w14:textId="6FB46FF5" w:rsidR="6CB236C5" w:rsidRPr="009B674B" w:rsidRDefault="6CB236C5" w:rsidP="24F8A5F8">
      <w:pPr>
        <w:pStyle w:val="ListParagraph"/>
        <w:numPr>
          <w:ilvl w:val="0"/>
          <w:numId w:val="21"/>
        </w:numPr>
        <w:rPr>
          <w:szCs w:val="24"/>
        </w:rPr>
      </w:pPr>
      <w:r w:rsidRPr="009B674B">
        <w:rPr>
          <w:szCs w:val="24"/>
        </w:rPr>
        <w:t>Facilitate quarterly Action Group meetings bringing together research staff and representatives with ideas feeding into the Researcher Development Steering Group</w:t>
      </w:r>
      <w:r w:rsidR="3E2F8954" w:rsidRPr="009B674B">
        <w:rPr>
          <w:szCs w:val="24"/>
        </w:rPr>
        <w:t>.</w:t>
      </w:r>
    </w:p>
    <w:p w14:paraId="4B06E44A" w14:textId="65419AB9" w:rsidR="3E2F8954" w:rsidRPr="009B674B" w:rsidRDefault="3E2F8954" w:rsidP="24F8A5F8">
      <w:pPr>
        <w:pStyle w:val="ListParagraph"/>
        <w:numPr>
          <w:ilvl w:val="0"/>
          <w:numId w:val="21"/>
        </w:numPr>
        <w:rPr>
          <w:szCs w:val="24"/>
        </w:rPr>
      </w:pPr>
      <w:r w:rsidRPr="009B674B">
        <w:rPr>
          <w:szCs w:val="24"/>
        </w:rPr>
        <w:t>Participate in the Research Culture Cafes to share best practice, raise issues and propose solutions for change.</w:t>
      </w:r>
    </w:p>
    <w:p w14:paraId="0E7205E3" w14:textId="2E7923D3" w:rsidR="65186DC4" w:rsidRDefault="00E87733" w:rsidP="00B0741C">
      <w:pPr>
        <w:pStyle w:val="Heading2"/>
        <w:shd w:val="clear" w:color="auto" w:fill="DAE9F7" w:themeFill="text2" w:themeFillTint="1A"/>
        <w:spacing w:before="120" w:after="120"/>
        <w:rPr>
          <w:color w:val="153D63" w:themeColor="text2" w:themeTint="E6"/>
        </w:rPr>
      </w:pPr>
      <w:r>
        <w:rPr>
          <w:color w:val="0E2740"/>
        </w:rPr>
        <w:t xml:space="preserve"> </w:t>
      </w:r>
      <w:r w:rsidR="6E2865B2" w:rsidRPr="106549D5">
        <w:rPr>
          <w:color w:val="0E2740"/>
        </w:rPr>
        <w:t>Mapped principles:</w:t>
      </w:r>
    </w:p>
    <w:p w14:paraId="7D7C46DE" w14:textId="0E76B7D3" w:rsidR="06639909" w:rsidRPr="009B674B" w:rsidRDefault="11B270C5" w:rsidP="76D8C369">
      <w:pPr>
        <w:pStyle w:val="ListParagraph"/>
        <w:numPr>
          <w:ilvl w:val="0"/>
          <w:numId w:val="25"/>
        </w:numPr>
        <w:shd w:val="clear" w:color="auto" w:fill="DAE9F7" w:themeFill="text2" w:themeFillTint="1A"/>
        <w:spacing w:after="120"/>
        <w:rPr>
          <w:rFonts w:ascii="Aptos" w:eastAsia="Aptos" w:hAnsi="Aptos" w:cs="Aptos"/>
          <w:color w:val="000000" w:themeColor="text1"/>
        </w:rPr>
      </w:pPr>
      <w:r w:rsidRPr="6C3C559F">
        <w:rPr>
          <w:rFonts w:ascii="Aptos" w:eastAsia="Aptos" w:hAnsi="Aptos" w:cs="Aptos"/>
        </w:rPr>
        <w:t>Ensure all relevant staff are aware of the Concordat (EC-I1)</w:t>
      </w:r>
    </w:p>
    <w:p w14:paraId="030B8E27" w14:textId="477190AC" w:rsidR="06639909" w:rsidRPr="009B674B" w:rsidRDefault="11B270C5" w:rsidP="00B0741C">
      <w:pPr>
        <w:pStyle w:val="ListParagraph"/>
        <w:numPr>
          <w:ilvl w:val="0"/>
          <w:numId w:val="25"/>
        </w:numPr>
        <w:shd w:val="clear" w:color="auto" w:fill="DAE9F7" w:themeFill="text2" w:themeFillTint="1A"/>
        <w:spacing w:after="0" w:line="300" w:lineRule="auto"/>
        <w:rPr>
          <w:rFonts w:ascii="Aptos" w:eastAsia="Aptos" w:hAnsi="Aptos" w:cs="Aptos"/>
          <w:color w:val="000000" w:themeColor="text1"/>
          <w:szCs w:val="24"/>
        </w:rPr>
      </w:pPr>
      <w:r w:rsidRPr="009B674B">
        <w:rPr>
          <w:rFonts w:ascii="Aptos" w:eastAsia="Aptos" w:hAnsi="Aptos" w:cs="Aptos"/>
          <w:szCs w:val="24"/>
        </w:rPr>
        <w:t>Ensure that institutional policies and practices relevant to researchers are well-communicated to researchers and their managers (EC-I2)</w:t>
      </w:r>
    </w:p>
    <w:p w14:paraId="30B24344" w14:textId="3244D38E" w:rsidR="06639909" w:rsidRPr="009B674B" w:rsidRDefault="11B270C5" w:rsidP="00B0741C">
      <w:pPr>
        <w:pStyle w:val="ListParagraph"/>
        <w:numPr>
          <w:ilvl w:val="0"/>
          <w:numId w:val="25"/>
        </w:numPr>
        <w:shd w:val="clear" w:color="auto" w:fill="DAE9F7" w:themeFill="text2" w:themeFillTint="1A"/>
        <w:spacing w:after="0" w:line="300" w:lineRule="auto"/>
        <w:rPr>
          <w:rFonts w:ascii="Aptos" w:eastAsia="Aptos" w:hAnsi="Aptos" w:cs="Aptos"/>
          <w:color w:val="000000" w:themeColor="text1"/>
          <w:szCs w:val="24"/>
        </w:rPr>
      </w:pPr>
      <w:r w:rsidRPr="009B674B">
        <w:rPr>
          <w:rFonts w:ascii="Aptos" w:eastAsia="Aptos" w:hAnsi="Aptos" w:cs="Aptos"/>
          <w:szCs w:val="24"/>
        </w:rPr>
        <w:t>Regularly review and report on the quality of the research environment and culture, including seeking feedback from researchers, and use the outcomes to improve institutional practices (EC-I6)</w:t>
      </w:r>
    </w:p>
    <w:p w14:paraId="51BF63DC" w14:textId="57E9033E" w:rsidR="06639909" w:rsidRPr="009B674B" w:rsidRDefault="11B270C5" w:rsidP="00B0741C">
      <w:pPr>
        <w:pStyle w:val="ListParagraph"/>
        <w:numPr>
          <w:ilvl w:val="0"/>
          <w:numId w:val="25"/>
        </w:numPr>
        <w:shd w:val="clear" w:color="auto" w:fill="DAE9F7" w:themeFill="text2" w:themeFillTint="1A"/>
        <w:spacing w:after="0" w:line="300" w:lineRule="auto"/>
        <w:rPr>
          <w:rFonts w:ascii="Aptos" w:eastAsia="Aptos" w:hAnsi="Aptos" w:cs="Aptos"/>
          <w:color w:val="000000" w:themeColor="text1"/>
          <w:szCs w:val="24"/>
        </w:rPr>
      </w:pPr>
      <w:r w:rsidRPr="009B674B">
        <w:rPr>
          <w:rFonts w:ascii="Aptos" w:eastAsia="Aptos" w:hAnsi="Aptos" w:cs="Aptos"/>
          <w:szCs w:val="24"/>
        </w:rPr>
        <w:t xml:space="preserve">Consider researchers and their managers as key stakeholders within the institution and provide them with formal opportunities to engage with relevant organisational policy and decision-making (Emp-I7). Managers and researchers must contribute to relevant policy development within their institution (Emp-M5 and Emp-R4) </w:t>
      </w:r>
    </w:p>
    <w:p w14:paraId="7A16DCA1" w14:textId="1C95E0D4" w:rsidR="06639909" w:rsidRPr="009B674B" w:rsidRDefault="11B270C5" w:rsidP="00B0741C">
      <w:pPr>
        <w:pStyle w:val="ListParagraph"/>
        <w:numPr>
          <w:ilvl w:val="0"/>
          <w:numId w:val="25"/>
        </w:numPr>
        <w:shd w:val="clear" w:color="auto" w:fill="DAE9F7" w:themeFill="text2" w:themeFillTint="1A"/>
        <w:spacing w:after="0" w:line="300" w:lineRule="auto"/>
        <w:rPr>
          <w:rFonts w:ascii="Aptos" w:eastAsia="Aptos" w:hAnsi="Aptos" w:cs="Aptos"/>
          <w:color w:val="000000" w:themeColor="text1"/>
          <w:szCs w:val="24"/>
        </w:rPr>
      </w:pPr>
      <w:r w:rsidRPr="009B674B">
        <w:rPr>
          <w:rFonts w:ascii="Aptos" w:eastAsia="Aptos" w:hAnsi="Aptos" w:cs="Aptos"/>
          <w:szCs w:val="24"/>
        </w:rPr>
        <w:lastRenderedPageBreak/>
        <w:t>Both Managers and Researchers will engage with opportunities to contribute to policy development aimed at creating a more positive environment and culture at Leeds (EC-M5, EC-R5)</w:t>
      </w:r>
    </w:p>
    <w:p w14:paraId="396DAD2E" w14:textId="35671146" w:rsidR="22A837E8" w:rsidRDefault="22A837E8" w:rsidP="24F8A5F8">
      <w:pPr>
        <w:pStyle w:val="ListParagraph"/>
        <w:ind w:left="0"/>
        <w:rPr>
          <w:b/>
          <w:bCs/>
          <w:color w:val="0E2841" w:themeColor="text2"/>
        </w:rPr>
      </w:pPr>
    </w:p>
    <w:p w14:paraId="29A6454D" w14:textId="25E272A9" w:rsidR="00C446B2" w:rsidRPr="00CD5B0F" w:rsidRDefault="4D2385DB" w:rsidP="24F8A5F8">
      <w:pPr>
        <w:pStyle w:val="Heading1"/>
        <w:shd w:val="clear" w:color="auto" w:fill="153D63" w:themeFill="text2" w:themeFillTint="E6"/>
        <w:rPr>
          <w:rFonts w:eastAsia="Times New Roman"/>
          <w:b w:val="0"/>
          <w:bCs w:val="0"/>
          <w:color w:val="FFFFFF" w:themeColor="background1"/>
          <w:lang w:eastAsia="en-GB"/>
        </w:rPr>
      </w:pPr>
      <w:r w:rsidRPr="24F8A5F8">
        <w:rPr>
          <w:rFonts w:eastAsia="Times New Roman"/>
          <w:b w:val="0"/>
          <w:bCs w:val="0"/>
          <w:color w:val="FFFFFF" w:themeColor="background1"/>
          <w:lang w:eastAsia="en-GB"/>
        </w:rPr>
        <w:t xml:space="preserve"> </w:t>
      </w:r>
      <w:r w:rsidR="41019259" w:rsidRPr="24F8A5F8">
        <w:rPr>
          <w:rFonts w:eastAsia="Times New Roman"/>
          <w:b w:val="0"/>
          <w:bCs w:val="0"/>
          <w:color w:val="FFFFFF" w:themeColor="background1"/>
          <w:lang w:eastAsia="en-GB"/>
        </w:rPr>
        <w:t xml:space="preserve">Theme </w:t>
      </w:r>
      <w:r w:rsidR="2EDB2CC1" w:rsidRPr="24F8A5F8">
        <w:rPr>
          <w:rFonts w:eastAsia="Times New Roman"/>
          <w:b w:val="0"/>
          <w:bCs w:val="0"/>
          <w:color w:val="FFFFFF" w:themeColor="background1"/>
          <w:lang w:eastAsia="en-GB"/>
        </w:rPr>
        <w:t>2</w:t>
      </w:r>
      <w:r w:rsidR="41019259" w:rsidRPr="24F8A5F8">
        <w:rPr>
          <w:rFonts w:eastAsia="Times New Roman"/>
          <w:b w:val="0"/>
          <w:bCs w:val="0"/>
          <w:color w:val="FFFFFF" w:themeColor="background1"/>
          <w:lang w:eastAsia="en-GB"/>
        </w:rPr>
        <w:t xml:space="preserve"> — </w:t>
      </w:r>
      <w:r w:rsidR="2EDB2CC1" w:rsidRPr="24F8A5F8">
        <w:rPr>
          <w:rFonts w:eastAsia="Times New Roman"/>
          <w:b w:val="0"/>
          <w:bCs w:val="0"/>
          <w:color w:val="FFFFFF" w:themeColor="background1"/>
          <w:lang w:eastAsia="en-GB"/>
        </w:rPr>
        <w:t>Research Culture</w:t>
      </w:r>
    </w:p>
    <w:p w14:paraId="2364214D" w14:textId="3A953432" w:rsidR="2C478DEE" w:rsidRDefault="2C478DEE" w:rsidP="00E87733">
      <w:pPr>
        <w:spacing w:before="120"/>
      </w:pPr>
      <w:r w:rsidRPr="24F8A5F8">
        <w:t>This theme supports the development of positive, inclusive and collaborative research cultures that recognise and value diverse contributions.</w:t>
      </w:r>
    </w:p>
    <w:p w14:paraId="2F5B7AC1" w14:textId="2E889EBD" w:rsidR="0BB3E99C" w:rsidRDefault="0BB3E99C"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21"/>
        <w:gridCol w:w="4002"/>
        <w:gridCol w:w="1043"/>
        <w:gridCol w:w="1004"/>
      </w:tblGrid>
      <w:tr w:rsidR="24F8A5F8" w14:paraId="785BAD25" w14:textId="77777777" w:rsidTr="00E87733">
        <w:trPr>
          <w:trHeight w:val="495"/>
        </w:trPr>
        <w:tc>
          <w:tcPr>
            <w:tcW w:w="3821" w:type="dxa"/>
            <w:shd w:val="clear" w:color="auto" w:fill="A5C9EB" w:themeFill="text2" w:themeFillTint="40"/>
            <w:vAlign w:val="center"/>
          </w:tcPr>
          <w:p w14:paraId="0A391C24" w14:textId="0C24131D" w:rsidR="24F8A5F8" w:rsidRDefault="24F8A5F8" w:rsidP="24F8A5F8">
            <w:pPr>
              <w:rPr>
                <w:b/>
                <w:bCs/>
                <w:color w:val="FFFFFF" w:themeColor="background1"/>
                <w:szCs w:val="24"/>
              </w:rPr>
            </w:pPr>
            <w:r w:rsidRPr="24F8A5F8">
              <w:rPr>
                <w:b/>
                <w:bCs/>
                <w:szCs w:val="24"/>
              </w:rPr>
              <w:t>Action</w:t>
            </w:r>
          </w:p>
        </w:tc>
        <w:tc>
          <w:tcPr>
            <w:tcW w:w="4002" w:type="dxa"/>
            <w:shd w:val="clear" w:color="auto" w:fill="A5C9EB" w:themeFill="text2" w:themeFillTint="40"/>
            <w:vAlign w:val="center"/>
          </w:tcPr>
          <w:p w14:paraId="3E684022" w14:textId="576DA5F8" w:rsidR="24F8A5F8" w:rsidRDefault="24F8A5F8" w:rsidP="24F8A5F8">
            <w:pPr>
              <w:rPr>
                <w:b/>
                <w:bCs/>
                <w:color w:val="FFFFFF" w:themeColor="background1"/>
                <w:szCs w:val="24"/>
              </w:rPr>
            </w:pPr>
            <w:r w:rsidRPr="24F8A5F8">
              <w:rPr>
                <w:b/>
                <w:bCs/>
                <w:szCs w:val="24"/>
              </w:rPr>
              <w:t>Success</w:t>
            </w:r>
          </w:p>
        </w:tc>
        <w:tc>
          <w:tcPr>
            <w:tcW w:w="1043" w:type="dxa"/>
            <w:shd w:val="clear" w:color="auto" w:fill="A5C9EB" w:themeFill="text2" w:themeFillTint="40"/>
            <w:vAlign w:val="center"/>
          </w:tcPr>
          <w:p w14:paraId="7E120965" w14:textId="714DB183" w:rsidR="24F8A5F8" w:rsidRDefault="24F8A5F8" w:rsidP="24F8A5F8">
            <w:pPr>
              <w:jc w:val="center"/>
              <w:rPr>
                <w:b/>
                <w:bCs/>
                <w:color w:val="FFFFFF" w:themeColor="background1"/>
                <w:szCs w:val="24"/>
              </w:rPr>
            </w:pPr>
            <w:r w:rsidRPr="24F8A5F8">
              <w:rPr>
                <w:b/>
                <w:bCs/>
                <w:szCs w:val="24"/>
              </w:rPr>
              <w:t>Lead</w:t>
            </w:r>
          </w:p>
        </w:tc>
        <w:tc>
          <w:tcPr>
            <w:tcW w:w="1004" w:type="dxa"/>
            <w:shd w:val="clear" w:color="auto" w:fill="A5C9EB" w:themeFill="text2" w:themeFillTint="40"/>
            <w:vAlign w:val="center"/>
          </w:tcPr>
          <w:p w14:paraId="33BEAE6F" w14:textId="1E21A64B" w:rsidR="24F8A5F8" w:rsidRDefault="24F8A5F8" w:rsidP="24F8A5F8">
            <w:pPr>
              <w:jc w:val="center"/>
              <w:rPr>
                <w:b/>
                <w:bCs/>
                <w:szCs w:val="24"/>
              </w:rPr>
            </w:pPr>
            <w:r w:rsidRPr="24F8A5F8">
              <w:rPr>
                <w:b/>
                <w:bCs/>
                <w:szCs w:val="24"/>
              </w:rPr>
              <w:t>Due</w:t>
            </w:r>
          </w:p>
        </w:tc>
      </w:tr>
      <w:tr w:rsidR="24F8A5F8" w14:paraId="3BC2F3C9" w14:textId="77777777" w:rsidTr="00E87733">
        <w:trPr>
          <w:trHeight w:val="1485"/>
        </w:trPr>
        <w:tc>
          <w:tcPr>
            <w:tcW w:w="3821" w:type="dxa"/>
          </w:tcPr>
          <w:p w14:paraId="4673207E" w14:textId="1CD9D92D" w:rsidR="24F8A5F8" w:rsidRDefault="24F8A5F8" w:rsidP="24F8A5F8">
            <w:pPr>
              <w:spacing w:before="120" w:after="120"/>
              <w:rPr>
                <w:color w:val="000000" w:themeColor="text1"/>
              </w:rPr>
            </w:pPr>
            <w:r w:rsidRPr="24F8A5F8">
              <w:rPr>
                <w:color w:val="000000" w:themeColor="text1"/>
              </w:rPr>
              <w:t>Provide funding and support for local school or faculty research staff groups.</w:t>
            </w:r>
          </w:p>
        </w:tc>
        <w:tc>
          <w:tcPr>
            <w:tcW w:w="4002" w:type="dxa"/>
          </w:tcPr>
          <w:p w14:paraId="22F81F5D" w14:textId="5377418B" w:rsidR="24F8A5F8" w:rsidRDefault="24F8A5F8" w:rsidP="24F8A5F8">
            <w:pPr>
              <w:spacing w:before="120" w:after="120"/>
              <w:rPr>
                <w:color w:val="000000" w:themeColor="text1"/>
              </w:rPr>
            </w:pPr>
            <w:r w:rsidRPr="24F8A5F8">
              <w:rPr>
                <w:color w:val="000000" w:themeColor="text1"/>
              </w:rPr>
              <w:t>Provide asynchronous resources followed by synchronous sessions to support prospective applicants. Continue to provide funding support for 6-7 groups in the first 12 months.</w:t>
            </w:r>
          </w:p>
        </w:tc>
        <w:tc>
          <w:tcPr>
            <w:tcW w:w="1043" w:type="dxa"/>
          </w:tcPr>
          <w:p w14:paraId="4660CE91" w14:textId="74E745C1" w:rsidR="091938E6" w:rsidRDefault="091938E6" w:rsidP="001608E7">
            <w:pPr>
              <w:spacing w:before="120" w:after="120"/>
              <w:jc w:val="center"/>
            </w:pPr>
            <w:r w:rsidRPr="24F8A5F8">
              <w:t>RDRC Team</w:t>
            </w:r>
          </w:p>
        </w:tc>
        <w:tc>
          <w:tcPr>
            <w:tcW w:w="1004" w:type="dxa"/>
          </w:tcPr>
          <w:p w14:paraId="554FFF52" w14:textId="6D2B4D63" w:rsidR="091938E6" w:rsidRDefault="091938E6" w:rsidP="001608E7">
            <w:pPr>
              <w:spacing w:before="120" w:after="120"/>
              <w:jc w:val="center"/>
            </w:pPr>
            <w:r w:rsidRPr="24F8A5F8">
              <w:t>July 2026</w:t>
            </w:r>
          </w:p>
        </w:tc>
      </w:tr>
      <w:tr w:rsidR="24F8A5F8" w14:paraId="6E8BA001" w14:textId="77777777" w:rsidTr="00E87733">
        <w:trPr>
          <w:trHeight w:val="300"/>
        </w:trPr>
        <w:tc>
          <w:tcPr>
            <w:tcW w:w="3821" w:type="dxa"/>
          </w:tcPr>
          <w:p w14:paraId="0BE31B24" w14:textId="106F81AE" w:rsidR="24F8A5F8" w:rsidRPr="008663FD" w:rsidRDefault="24F8A5F8" w:rsidP="24F8A5F8">
            <w:pPr>
              <w:spacing w:before="120" w:after="120"/>
              <w:rPr>
                <w:color w:val="000000" w:themeColor="text1"/>
                <w:szCs w:val="24"/>
              </w:rPr>
            </w:pPr>
            <w:r w:rsidRPr="008663FD">
              <w:rPr>
                <w:color w:val="000000" w:themeColor="text1"/>
                <w:szCs w:val="24"/>
              </w:rPr>
              <w:t xml:space="preserve">Deliver the RDC workshop on ‘What Research Culture </w:t>
            </w:r>
            <w:proofErr w:type="gramStart"/>
            <w:r w:rsidRPr="008663FD">
              <w:rPr>
                <w:color w:val="000000" w:themeColor="text1"/>
                <w:szCs w:val="24"/>
              </w:rPr>
              <w:t>is’</w:t>
            </w:r>
            <w:proofErr w:type="gramEnd"/>
            <w:r w:rsidRPr="008663FD">
              <w:rPr>
                <w:color w:val="000000" w:themeColor="text1"/>
                <w:szCs w:val="24"/>
              </w:rPr>
              <w:t xml:space="preserve"> and how individuals/teams play a key role in setting the culture of their research area.</w:t>
            </w:r>
          </w:p>
        </w:tc>
        <w:tc>
          <w:tcPr>
            <w:tcW w:w="4002" w:type="dxa"/>
          </w:tcPr>
          <w:p w14:paraId="3920E06F" w14:textId="640D069E" w:rsidR="24F8A5F8" w:rsidRPr="008663FD" w:rsidRDefault="24F8A5F8" w:rsidP="24F8A5F8">
            <w:pPr>
              <w:spacing w:before="120" w:after="120"/>
              <w:rPr>
                <w:color w:val="000000" w:themeColor="text1"/>
                <w:szCs w:val="24"/>
              </w:rPr>
            </w:pPr>
            <w:r w:rsidRPr="008663FD">
              <w:rPr>
                <w:color w:val="000000" w:themeColor="text1"/>
                <w:szCs w:val="24"/>
              </w:rPr>
              <w:t>Create a short introductory module on the topic of Research Culture and how we are embedding it at Leeds, with 100 users in the first year. Develop a synchronous workshop with supporting materials to run twice per year. Evaluation and course feedback to ensure it meets user needs.</w:t>
            </w:r>
          </w:p>
        </w:tc>
        <w:tc>
          <w:tcPr>
            <w:tcW w:w="1043" w:type="dxa"/>
          </w:tcPr>
          <w:p w14:paraId="05F9A909" w14:textId="7DD120A5" w:rsidR="6ED0A0C6" w:rsidRPr="008663FD" w:rsidRDefault="6ED0A0C6" w:rsidP="001608E7">
            <w:pPr>
              <w:spacing w:before="120" w:after="120"/>
              <w:jc w:val="center"/>
              <w:rPr>
                <w:szCs w:val="24"/>
              </w:rPr>
            </w:pPr>
            <w:r w:rsidRPr="008663FD">
              <w:rPr>
                <w:szCs w:val="24"/>
              </w:rPr>
              <w:t>RDRC Team</w:t>
            </w:r>
          </w:p>
        </w:tc>
        <w:tc>
          <w:tcPr>
            <w:tcW w:w="1004" w:type="dxa"/>
          </w:tcPr>
          <w:p w14:paraId="3D9B4C71" w14:textId="17B73405" w:rsidR="6ED0A0C6" w:rsidRPr="008663FD" w:rsidRDefault="6ED0A0C6" w:rsidP="001608E7">
            <w:pPr>
              <w:spacing w:before="120" w:after="120"/>
              <w:jc w:val="center"/>
              <w:rPr>
                <w:szCs w:val="24"/>
              </w:rPr>
            </w:pPr>
            <w:r w:rsidRPr="008663FD">
              <w:rPr>
                <w:szCs w:val="24"/>
              </w:rPr>
              <w:t>Oct 2026</w:t>
            </w:r>
          </w:p>
        </w:tc>
      </w:tr>
    </w:tbl>
    <w:p w14:paraId="63AA3810" w14:textId="6D27D109" w:rsidR="0BB3E99C" w:rsidRDefault="0BB3E99C" w:rsidP="24F8A5F8">
      <w:pPr>
        <w:pStyle w:val="Heading2"/>
        <w:spacing w:after="240"/>
        <w:rPr>
          <w:color w:val="153D63" w:themeColor="text2" w:themeTint="E6"/>
        </w:rPr>
      </w:pPr>
      <w:r w:rsidRPr="24F8A5F8">
        <w:rPr>
          <w:color w:val="153D63" w:themeColor="text2" w:themeTint="E6"/>
        </w:rPr>
        <w:t>Previous actions embedded as ongoing provision:</w:t>
      </w:r>
    </w:p>
    <w:p w14:paraId="6214DC2F" w14:textId="61240812" w:rsidR="24F8A5F8" w:rsidRPr="000A59D7" w:rsidRDefault="47EE4671" w:rsidP="001608E7">
      <w:pPr>
        <w:pStyle w:val="ListParagraph"/>
        <w:numPr>
          <w:ilvl w:val="0"/>
          <w:numId w:val="21"/>
        </w:numPr>
        <w:rPr>
          <w:szCs w:val="24"/>
        </w:rPr>
      </w:pPr>
      <w:r w:rsidRPr="000A59D7">
        <w:rPr>
          <w:color w:val="000000" w:themeColor="text1"/>
          <w:szCs w:val="24"/>
        </w:rPr>
        <w:t>Research Staff to join the UoL mentoring scheme, promoting the benefits of being both mentor and mentee.</w:t>
      </w:r>
    </w:p>
    <w:p w14:paraId="4A41BE9B" w14:textId="3BDDB936" w:rsidR="00407C67" w:rsidRPr="000A59D7" w:rsidRDefault="00407C67" w:rsidP="001608E7">
      <w:pPr>
        <w:pStyle w:val="ListParagraph"/>
        <w:numPr>
          <w:ilvl w:val="0"/>
          <w:numId w:val="21"/>
        </w:numPr>
        <w:rPr>
          <w:szCs w:val="24"/>
        </w:rPr>
      </w:pPr>
      <w:r w:rsidRPr="000A59D7">
        <w:rPr>
          <w:color w:val="000000" w:themeColor="text1"/>
          <w:szCs w:val="24"/>
        </w:rPr>
        <w:t>Successful embedding of our Research Culture Strategy 2023-2028.</w:t>
      </w:r>
    </w:p>
    <w:p w14:paraId="75291B0F" w14:textId="5CE051AC" w:rsidR="0BB3E99C" w:rsidRDefault="0BB3E99C" w:rsidP="001608E7">
      <w:pPr>
        <w:pStyle w:val="Heading2"/>
        <w:shd w:val="clear" w:color="auto" w:fill="DAE9F7" w:themeFill="text2" w:themeFillTint="1A"/>
        <w:spacing w:after="240"/>
        <w:rPr>
          <w:color w:val="153D63" w:themeColor="text2" w:themeTint="E6"/>
        </w:rPr>
      </w:pPr>
      <w:r w:rsidRPr="24F8A5F8">
        <w:rPr>
          <w:color w:val="153D63" w:themeColor="text2" w:themeTint="E6"/>
        </w:rPr>
        <w:t>Mapped principles:</w:t>
      </w:r>
    </w:p>
    <w:p w14:paraId="35B6B5AF" w14:textId="52720E39" w:rsidR="01BB7435" w:rsidRPr="008663FD" w:rsidRDefault="01BB7435" w:rsidP="001608E7">
      <w:pPr>
        <w:pStyle w:val="ListParagraph"/>
        <w:numPr>
          <w:ilvl w:val="0"/>
          <w:numId w:val="17"/>
        </w:numPr>
        <w:shd w:val="clear" w:color="auto" w:fill="DAE9F7" w:themeFill="text2" w:themeFillTint="1A"/>
        <w:spacing w:after="0" w:line="300" w:lineRule="auto"/>
        <w:rPr>
          <w:color w:val="000000" w:themeColor="text1"/>
          <w:szCs w:val="24"/>
        </w:rPr>
      </w:pPr>
      <w:r w:rsidRPr="008663FD">
        <w:rPr>
          <w:color w:val="000000" w:themeColor="text1"/>
          <w:szCs w:val="24"/>
        </w:rPr>
        <w:t>Researchers actively contribute to the development and maintenance of a supportive, fair and inclusive research culture and be a supportive colleague, particularly to newer researchers and students (EC-R1).</w:t>
      </w:r>
    </w:p>
    <w:p w14:paraId="492BFF9F" w14:textId="55503754" w:rsidR="01BB7435" w:rsidRPr="008663FD" w:rsidRDefault="01BB7435" w:rsidP="001608E7">
      <w:pPr>
        <w:pStyle w:val="ListParagraph"/>
        <w:numPr>
          <w:ilvl w:val="0"/>
          <w:numId w:val="17"/>
        </w:numPr>
        <w:shd w:val="clear" w:color="auto" w:fill="DAE9F7" w:themeFill="text2" w:themeFillTint="1A"/>
        <w:spacing w:after="0" w:line="300" w:lineRule="auto"/>
        <w:rPr>
          <w:color w:val="000000" w:themeColor="text1"/>
          <w:szCs w:val="24"/>
        </w:rPr>
      </w:pPr>
      <w:r w:rsidRPr="008663FD">
        <w:rPr>
          <w:color w:val="000000" w:themeColor="text1"/>
          <w:szCs w:val="24"/>
        </w:rPr>
        <w:t>Promote a healthy working environment that supports researchers’ wellbeing and mental health, including reporting and addressing incidents of discrimination, bullying and harassment, and poor research integrity (EC-M3)</w:t>
      </w:r>
    </w:p>
    <w:p w14:paraId="7DCC10F8" w14:textId="59FD5470" w:rsidR="01BB7435" w:rsidRPr="008663FD" w:rsidRDefault="01BB7435" w:rsidP="001608E7">
      <w:pPr>
        <w:pStyle w:val="ListParagraph"/>
        <w:numPr>
          <w:ilvl w:val="0"/>
          <w:numId w:val="17"/>
        </w:numPr>
        <w:shd w:val="clear" w:color="auto" w:fill="DAE9F7" w:themeFill="text2" w:themeFillTint="1A"/>
        <w:spacing w:after="0" w:line="300" w:lineRule="auto"/>
        <w:rPr>
          <w:color w:val="000000" w:themeColor="text1"/>
          <w:szCs w:val="24"/>
        </w:rPr>
      </w:pPr>
      <w:r w:rsidRPr="008663FD">
        <w:rPr>
          <w:color w:val="000000" w:themeColor="text1"/>
          <w:szCs w:val="24"/>
        </w:rPr>
        <w:lastRenderedPageBreak/>
        <w:t>Regularly review and report on the quality of the research environment and culture, including seeking feedback from researchers, and use the outcomes to improve institutional practices (EC-I6)</w:t>
      </w:r>
    </w:p>
    <w:p w14:paraId="5EACE3A6" w14:textId="5E0CF78B" w:rsidR="00C446B2" w:rsidRPr="00D63E08" w:rsidRDefault="2612F167" w:rsidP="00D63E08">
      <w:pPr>
        <w:rPr>
          <w:b/>
          <w:bCs/>
        </w:rPr>
      </w:pPr>
      <w:r w:rsidRPr="24F8A5F8">
        <w:rPr>
          <w:b/>
          <w:bCs/>
        </w:rPr>
        <w:t xml:space="preserve"> </w:t>
      </w:r>
    </w:p>
    <w:p w14:paraId="623B235D" w14:textId="04EE7B87" w:rsidR="2612F167" w:rsidRDefault="2612F167" w:rsidP="24F8A5F8">
      <w:pPr>
        <w:pStyle w:val="Heading3"/>
        <w:shd w:val="clear" w:color="auto" w:fill="153D63" w:themeFill="text2" w:themeFillTint="E6"/>
        <w:spacing w:before="246" w:line="300" w:lineRule="auto"/>
        <w:rPr>
          <w:rFonts w:ascii="Segoe UI" w:eastAsia="Segoe UI" w:hAnsi="Segoe UI" w:cs="Segoe UI"/>
          <w:b w:val="0"/>
          <w:bCs w:val="0"/>
          <w:color w:val="FFFFFF" w:themeColor="background1"/>
          <w:szCs w:val="24"/>
        </w:rPr>
      </w:pPr>
      <w:r w:rsidRPr="24F8A5F8">
        <w:rPr>
          <w:rFonts w:ascii="Segoe UI" w:eastAsia="Segoe UI" w:hAnsi="Segoe UI" w:cs="Segoe UI"/>
          <w:b w:val="0"/>
          <w:bCs w:val="0"/>
          <w:color w:val="FFFFFF" w:themeColor="background1"/>
          <w:szCs w:val="24"/>
        </w:rPr>
        <w:t xml:space="preserve"> </w:t>
      </w:r>
      <w:r w:rsidR="464DCCCF" w:rsidRPr="24F8A5F8">
        <w:rPr>
          <w:rFonts w:ascii="Segoe UI" w:eastAsia="Segoe UI" w:hAnsi="Segoe UI" w:cs="Segoe UI"/>
          <w:b w:val="0"/>
          <w:bCs w:val="0"/>
          <w:color w:val="FFFFFF" w:themeColor="background1"/>
          <w:szCs w:val="24"/>
        </w:rPr>
        <w:t>Theme 3 — Equity, Inclusion &amp; Wellbeing</w:t>
      </w:r>
    </w:p>
    <w:p w14:paraId="53EEB0E9" w14:textId="626E80C3" w:rsidR="464DCCCF" w:rsidRDefault="464DCCCF" w:rsidP="00417384">
      <w:pPr>
        <w:spacing w:before="120"/>
      </w:pPr>
      <w:r w:rsidRPr="24F8A5F8">
        <w:t>This theme promotes equitable, transparent policies and practices that embed EDI and wellbeing, fostering safe, supportive environments for all researchers.</w:t>
      </w:r>
    </w:p>
    <w:p w14:paraId="72A09C71" w14:textId="2E889EBD" w:rsidR="25D2F04F" w:rsidRDefault="25D2F04F"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12"/>
        <w:gridCol w:w="4011"/>
        <w:gridCol w:w="1043"/>
        <w:gridCol w:w="1004"/>
      </w:tblGrid>
      <w:tr w:rsidR="24F8A5F8" w14:paraId="0F6C98E0" w14:textId="77777777" w:rsidTr="7E753A70">
        <w:trPr>
          <w:trHeight w:val="495"/>
        </w:trPr>
        <w:tc>
          <w:tcPr>
            <w:tcW w:w="3812" w:type="dxa"/>
            <w:shd w:val="clear" w:color="auto" w:fill="A5C9EB" w:themeFill="text2" w:themeFillTint="40"/>
            <w:vAlign w:val="center"/>
          </w:tcPr>
          <w:p w14:paraId="24506C05" w14:textId="0C24131D" w:rsidR="24F8A5F8" w:rsidRDefault="24F8A5F8" w:rsidP="24F8A5F8">
            <w:pPr>
              <w:rPr>
                <w:b/>
                <w:bCs/>
                <w:szCs w:val="24"/>
              </w:rPr>
            </w:pPr>
            <w:r w:rsidRPr="24F8A5F8">
              <w:rPr>
                <w:b/>
                <w:bCs/>
                <w:szCs w:val="24"/>
              </w:rPr>
              <w:t>Action</w:t>
            </w:r>
          </w:p>
        </w:tc>
        <w:tc>
          <w:tcPr>
            <w:tcW w:w="4011" w:type="dxa"/>
            <w:shd w:val="clear" w:color="auto" w:fill="A5C9EB" w:themeFill="text2" w:themeFillTint="40"/>
            <w:vAlign w:val="center"/>
          </w:tcPr>
          <w:p w14:paraId="73F9B5E0" w14:textId="576DA5F8" w:rsidR="24F8A5F8" w:rsidRDefault="24F8A5F8" w:rsidP="24F8A5F8">
            <w:pPr>
              <w:rPr>
                <w:b/>
                <w:bCs/>
                <w:szCs w:val="24"/>
              </w:rPr>
            </w:pPr>
            <w:r w:rsidRPr="24F8A5F8">
              <w:rPr>
                <w:b/>
                <w:bCs/>
                <w:szCs w:val="24"/>
              </w:rPr>
              <w:t>Success</w:t>
            </w:r>
          </w:p>
        </w:tc>
        <w:tc>
          <w:tcPr>
            <w:tcW w:w="1043" w:type="dxa"/>
            <w:shd w:val="clear" w:color="auto" w:fill="A5C9EB" w:themeFill="text2" w:themeFillTint="40"/>
            <w:vAlign w:val="center"/>
          </w:tcPr>
          <w:p w14:paraId="0C28DBFD" w14:textId="714DB183" w:rsidR="24F8A5F8" w:rsidRDefault="24F8A5F8" w:rsidP="24F8A5F8">
            <w:pPr>
              <w:jc w:val="center"/>
              <w:rPr>
                <w:b/>
                <w:bCs/>
                <w:szCs w:val="24"/>
              </w:rPr>
            </w:pPr>
            <w:r w:rsidRPr="24F8A5F8">
              <w:rPr>
                <w:b/>
                <w:bCs/>
                <w:szCs w:val="24"/>
              </w:rPr>
              <w:t>Lead</w:t>
            </w:r>
          </w:p>
        </w:tc>
        <w:tc>
          <w:tcPr>
            <w:tcW w:w="1004" w:type="dxa"/>
            <w:shd w:val="clear" w:color="auto" w:fill="A5C9EB" w:themeFill="text2" w:themeFillTint="40"/>
            <w:vAlign w:val="center"/>
          </w:tcPr>
          <w:p w14:paraId="0E488B96" w14:textId="1E21A64B" w:rsidR="24F8A5F8" w:rsidRDefault="24F8A5F8" w:rsidP="24F8A5F8">
            <w:pPr>
              <w:jc w:val="center"/>
              <w:rPr>
                <w:b/>
                <w:bCs/>
                <w:szCs w:val="24"/>
              </w:rPr>
            </w:pPr>
            <w:r w:rsidRPr="24F8A5F8">
              <w:rPr>
                <w:b/>
                <w:bCs/>
                <w:szCs w:val="24"/>
              </w:rPr>
              <w:t>Due</w:t>
            </w:r>
          </w:p>
        </w:tc>
      </w:tr>
      <w:tr w:rsidR="24F8A5F8" w14:paraId="551AEE3C" w14:textId="77777777" w:rsidTr="7E753A70">
        <w:trPr>
          <w:trHeight w:val="490"/>
        </w:trPr>
        <w:tc>
          <w:tcPr>
            <w:tcW w:w="3812" w:type="dxa"/>
          </w:tcPr>
          <w:p w14:paraId="00119BBE" w14:textId="7D84DC33" w:rsidR="24F8A5F8" w:rsidRDefault="001C2EAB" w:rsidP="24F8A5F8">
            <w:pPr>
              <w:spacing w:before="120" w:after="120"/>
              <w:rPr>
                <w:color w:val="000000" w:themeColor="text1"/>
              </w:rPr>
            </w:pPr>
            <w:r w:rsidRPr="001C2EAB">
              <w:rPr>
                <w:b/>
                <w:bCs/>
                <w:color w:val="000000" w:themeColor="text1"/>
              </w:rPr>
              <w:t xml:space="preserve">*NEW: </w:t>
            </w:r>
            <w:r w:rsidR="00104D12" w:rsidRPr="00104D12">
              <w:rPr>
                <w:color w:val="000000" w:themeColor="text1"/>
              </w:rPr>
              <w:t>Analyse the Race Equality Survey findings to extract both quantitative and qualitative insights specific to early career researchers, identifying key themes, disparities, and priority areas for targeted intervention.</w:t>
            </w:r>
          </w:p>
        </w:tc>
        <w:tc>
          <w:tcPr>
            <w:tcW w:w="4011" w:type="dxa"/>
          </w:tcPr>
          <w:p w14:paraId="4F17142E" w14:textId="27CAB0D3" w:rsidR="008130E8" w:rsidRPr="008130E8" w:rsidRDefault="008130E8" w:rsidP="008130E8">
            <w:pPr>
              <w:spacing w:before="120" w:after="120"/>
              <w:rPr>
                <w:color w:val="000000" w:themeColor="text1"/>
              </w:rPr>
            </w:pPr>
            <w:r w:rsidRPr="7E753A70">
              <w:rPr>
                <w:color w:val="000000" w:themeColor="text1"/>
              </w:rPr>
              <w:t>Detailed analysis report produced, clearly summarising ECR</w:t>
            </w:r>
            <w:r w:rsidR="2C46748A" w:rsidRPr="7E753A70">
              <w:rPr>
                <w:color w:val="000000" w:themeColor="text1"/>
              </w:rPr>
              <w:t xml:space="preserve"> </w:t>
            </w:r>
            <w:r w:rsidRPr="7E753A70">
              <w:rPr>
                <w:color w:val="000000" w:themeColor="text1"/>
              </w:rPr>
              <w:t>specific feedback. Priority actions informed directly by the analysis and integrated into th</w:t>
            </w:r>
            <w:r w:rsidR="00603A9F" w:rsidRPr="7E753A70">
              <w:rPr>
                <w:color w:val="000000" w:themeColor="text1"/>
              </w:rPr>
              <w:t>is</w:t>
            </w:r>
            <w:r w:rsidRPr="7E753A70">
              <w:rPr>
                <w:color w:val="000000" w:themeColor="text1"/>
              </w:rPr>
              <w:t xml:space="preserve"> implementation plan. </w:t>
            </w:r>
          </w:p>
          <w:p w14:paraId="2F8EE7BF" w14:textId="3538A891" w:rsidR="24F8A5F8" w:rsidRDefault="24F8A5F8" w:rsidP="00903595">
            <w:pPr>
              <w:spacing w:before="120" w:after="120"/>
              <w:rPr>
                <w:color w:val="000000" w:themeColor="text1"/>
              </w:rPr>
            </w:pPr>
          </w:p>
        </w:tc>
        <w:tc>
          <w:tcPr>
            <w:tcW w:w="1043" w:type="dxa"/>
          </w:tcPr>
          <w:p w14:paraId="75604285" w14:textId="77777777" w:rsidR="24F8A5F8" w:rsidRDefault="001C2EAB" w:rsidP="24F8A5F8">
            <w:pPr>
              <w:spacing w:before="120" w:after="120"/>
              <w:jc w:val="center"/>
            </w:pPr>
            <w:r>
              <w:t>RDRC Team</w:t>
            </w:r>
          </w:p>
          <w:p w14:paraId="5126A247" w14:textId="5D9D63B3" w:rsidR="001C2EAB" w:rsidRDefault="001C2EAB" w:rsidP="24F8A5F8">
            <w:pPr>
              <w:spacing w:before="120" w:after="120"/>
              <w:jc w:val="center"/>
            </w:pPr>
            <w:r>
              <w:t>EIU</w:t>
            </w:r>
          </w:p>
        </w:tc>
        <w:tc>
          <w:tcPr>
            <w:tcW w:w="1004" w:type="dxa"/>
          </w:tcPr>
          <w:p w14:paraId="5F7F6952" w14:textId="03AF33F6" w:rsidR="24F8A5F8" w:rsidRDefault="001C2EAB" w:rsidP="24F8A5F8">
            <w:pPr>
              <w:spacing w:before="120" w:after="120"/>
              <w:jc w:val="center"/>
            </w:pPr>
            <w:r>
              <w:t>Aug 2026</w:t>
            </w:r>
          </w:p>
        </w:tc>
      </w:tr>
    </w:tbl>
    <w:p w14:paraId="39CA9732" w14:textId="6D27D109" w:rsidR="25D2F04F" w:rsidRDefault="25D2F04F" w:rsidP="24F8A5F8">
      <w:pPr>
        <w:pStyle w:val="Heading2"/>
        <w:spacing w:after="240"/>
        <w:rPr>
          <w:color w:val="153D63" w:themeColor="text2" w:themeTint="E6"/>
        </w:rPr>
      </w:pPr>
      <w:r w:rsidRPr="24F8A5F8">
        <w:rPr>
          <w:color w:val="153D63" w:themeColor="text2" w:themeTint="E6"/>
        </w:rPr>
        <w:t>Previous actions embedded as ongoing provision:</w:t>
      </w:r>
    </w:p>
    <w:p w14:paraId="124AC44D" w14:textId="00FABC3D" w:rsidR="43824D32" w:rsidRDefault="43824D32" w:rsidP="24F8A5F8">
      <w:pPr>
        <w:pStyle w:val="ListParagraph"/>
        <w:numPr>
          <w:ilvl w:val="0"/>
          <w:numId w:val="21"/>
        </w:numPr>
        <w:spacing w:before="120"/>
      </w:pPr>
      <w:r w:rsidRPr="00CC5DE0">
        <w:rPr>
          <w:color w:val="000000" w:themeColor="text1"/>
          <w:szCs w:val="24"/>
        </w:rPr>
        <w:t>Highlight content and support covering wellbeing and mental health offered from the Leadership Team, Staff Counselling Service and Equality Inclusion Unit with links from the MS Team community and on the website.</w:t>
      </w:r>
    </w:p>
    <w:p w14:paraId="6D4853B7" w14:textId="5CF824E2" w:rsidR="43824D32" w:rsidRDefault="43824D32" w:rsidP="24F8A5F8">
      <w:pPr>
        <w:pStyle w:val="ListParagraph"/>
        <w:numPr>
          <w:ilvl w:val="0"/>
          <w:numId w:val="21"/>
        </w:numPr>
        <w:spacing w:before="120"/>
      </w:pPr>
      <w:r w:rsidRPr="00CC5DE0">
        <w:rPr>
          <w:color w:val="000000" w:themeColor="text1"/>
          <w:szCs w:val="24"/>
        </w:rPr>
        <w:t>Introduce a range of short online learning resources covering a range of topics including EDI, Inclusive Recruitment, Wellbeing and Mental Health, Active Bystander and Unconscious Bias, Safeguarding and AI in the workplace.</w:t>
      </w:r>
    </w:p>
    <w:p w14:paraId="5BFB7665" w14:textId="27EAFAFF" w:rsidR="18BB4B38" w:rsidRDefault="18BB4B38" w:rsidP="24F8A5F8">
      <w:pPr>
        <w:pStyle w:val="ListParagraph"/>
        <w:numPr>
          <w:ilvl w:val="0"/>
          <w:numId w:val="21"/>
        </w:numPr>
        <w:spacing w:before="120"/>
      </w:pPr>
      <w:r w:rsidRPr="00CC5DE0">
        <w:rPr>
          <w:color w:val="000000" w:themeColor="text1"/>
          <w:szCs w:val="24"/>
        </w:rPr>
        <w:t>Promote our Research Culture ‘tell us more’ anonymous feedback.</w:t>
      </w:r>
    </w:p>
    <w:p w14:paraId="673E5FFE" w14:textId="3370560A" w:rsidR="6373A41A" w:rsidRDefault="6373A41A" w:rsidP="24F8A5F8">
      <w:pPr>
        <w:pStyle w:val="ListParagraph"/>
        <w:numPr>
          <w:ilvl w:val="0"/>
          <w:numId w:val="21"/>
        </w:numPr>
        <w:spacing w:before="120"/>
      </w:pPr>
      <w:r w:rsidRPr="00CC5DE0">
        <w:rPr>
          <w:color w:val="000000" w:themeColor="text1"/>
          <w:szCs w:val="24"/>
        </w:rPr>
        <w:t>All staff to complete our mandatory ‘An introduction to Equality and Inclusion Training’.</w:t>
      </w:r>
    </w:p>
    <w:p w14:paraId="6B741B9E" w14:textId="24D2EA79" w:rsidR="6373A41A" w:rsidRDefault="6373A41A" w:rsidP="24F8A5F8">
      <w:pPr>
        <w:pStyle w:val="ListParagraph"/>
        <w:numPr>
          <w:ilvl w:val="0"/>
          <w:numId w:val="21"/>
        </w:numPr>
        <w:spacing w:before="120"/>
      </w:pPr>
      <w:r w:rsidRPr="00CC5DE0">
        <w:rPr>
          <w:color w:val="000000" w:themeColor="text1"/>
          <w:szCs w:val="24"/>
        </w:rPr>
        <w:t>Ensure Concordat actions are aligned with the University’s strategies and policies from the Equality and Inclusion Unit.</w:t>
      </w:r>
    </w:p>
    <w:p w14:paraId="4ADF116B" w14:textId="6450EF44" w:rsidR="6373A41A" w:rsidRDefault="6373A41A" w:rsidP="24F8A5F8">
      <w:pPr>
        <w:pStyle w:val="ListParagraph"/>
        <w:numPr>
          <w:ilvl w:val="0"/>
          <w:numId w:val="21"/>
        </w:numPr>
        <w:spacing w:before="120"/>
      </w:pPr>
      <w:r w:rsidRPr="00CC5DE0">
        <w:rPr>
          <w:color w:val="000000" w:themeColor="text1"/>
          <w:szCs w:val="24"/>
        </w:rPr>
        <w:t>Raise awareness of our flexible working policy.</w:t>
      </w:r>
    </w:p>
    <w:p w14:paraId="7E89BC63" w14:textId="5CE051AC" w:rsidR="25D2F04F" w:rsidRDefault="25D2F04F" w:rsidP="00505BD2">
      <w:pPr>
        <w:pStyle w:val="Heading2"/>
        <w:shd w:val="clear" w:color="auto" w:fill="DAE9F7" w:themeFill="text2" w:themeFillTint="1A"/>
        <w:spacing w:after="240"/>
        <w:rPr>
          <w:color w:val="153D63" w:themeColor="text2" w:themeTint="E6"/>
        </w:rPr>
      </w:pPr>
      <w:r w:rsidRPr="24F8A5F8">
        <w:rPr>
          <w:color w:val="153D63" w:themeColor="text2" w:themeTint="E6"/>
        </w:rPr>
        <w:t>Mapped principles:</w:t>
      </w:r>
    </w:p>
    <w:p w14:paraId="4D96D394" w14:textId="7C0CFDE8" w:rsidR="4EA55CA2" w:rsidRDefault="4EA55CA2" w:rsidP="00505BD2">
      <w:pPr>
        <w:pStyle w:val="ListParagraph"/>
        <w:numPr>
          <w:ilvl w:val="0"/>
          <w:numId w:val="16"/>
        </w:numPr>
        <w:shd w:val="clear" w:color="auto" w:fill="DAE9F7" w:themeFill="text2" w:themeFillTint="1A"/>
        <w:rPr>
          <w:rFonts w:ascii="Aptos" w:eastAsia="Aptos" w:hAnsi="Aptos" w:cs="Aptos"/>
          <w:color w:val="000000" w:themeColor="text1"/>
        </w:rPr>
      </w:pPr>
      <w:r w:rsidRPr="00CC5DE0">
        <w:rPr>
          <w:rFonts w:ascii="Aptos" w:eastAsia="Aptos" w:hAnsi="Aptos" w:cs="Aptos"/>
          <w:color w:val="000000" w:themeColor="text1"/>
          <w:szCs w:val="24"/>
        </w:rPr>
        <w:t xml:space="preserve">Promote a healthy working environment that supports researchers’ wellbeing and mental health through, for example, the effective management of workloads and people, and effective policies and practice for tackling discrimination, bullying and harassment, including providing appropriate support for those reporting issues (EC-I3).  </w:t>
      </w:r>
    </w:p>
    <w:p w14:paraId="6475DBB6" w14:textId="5488C333" w:rsidR="4EA55CA2" w:rsidRDefault="4EA55CA2" w:rsidP="00505BD2">
      <w:pPr>
        <w:pStyle w:val="ListParagraph"/>
        <w:numPr>
          <w:ilvl w:val="0"/>
          <w:numId w:val="16"/>
        </w:numPr>
        <w:shd w:val="clear" w:color="auto" w:fill="DAE9F7" w:themeFill="text2" w:themeFillTint="1A"/>
        <w:rPr>
          <w:rFonts w:ascii="Aptos" w:eastAsia="Aptos" w:hAnsi="Aptos" w:cs="Aptos"/>
          <w:color w:val="000000" w:themeColor="text1"/>
        </w:rPr>
      </w:pPr>
      <w:r w:rsidRPr="00CC5DE0">
        <w:rPr>
          <w:rFonts w:ascii="Aptos" w:eastAsia="Aptos" w:hAnsi="Aptos" w:cs="Aptos"/>
          <w:color w:val="000000" w:themeColor="text1"/>
          <w:szCs w:val="24"/>
        </w:rPr>
        <w:lastRenderedPageBreak/>
        <w:t xml:space="preserve">Managers and Researchers will take positive action towards maintaining their wellbeing and mental health (EC-R3), including reporting and addressing incidents of discrimination, bullying and harassment, and poor research integrity (EC-M3 &amp; EC-R4)   </w:t>
      </w:r>
    </w:p>
    <w:p w14:paraId="76541AE7" w14:textId="4B1FD089" w:rsidR="4EA55CA2" w:rsidRDefault="4EA55CA2" w:rsidP="00505BD2">
      <w:pPr>
        <w:pStyle w:val="ListParagraph"/>
        <w:numPr>
          <w:ilvl w:val="0"/>
          <w:numId w:val="16"/>
        </w:numPr>
        <w:shd w:val="clear" w:color="auto" w:fill="DAE9F7" w:themeFill="text2" w:themeFillTint="1A"/>
        <w:rPr>
          <w:rFonts w:ascii="Aptos" w:eastAsia="Aptos" w:hAnsi="Aptos" w:cs="Aptos"/>
          <w:color w:val="000000" w:themeColor="text1"/>
        </w:rPr>
      </w:pPr>
      <w:r w:rsidRPr="00CC5DE0">
        <w:rPr>
          <w:rFonts w:ascii="Aptos" w:eastAsia="Aptos" w:hAnsi="Aptos" w:cs="Aptos"/>
          <w:color w:val="000000" w:themeColor="text1"/>
          <w:szCs w:val="24"/>
        </w:rPr>
        <w:t xml:space="preserve">Ensure institutional policies relevant to researchers are inclusive, equitable, transparent (EC-I2) </w:t>
      </w:r>
    </w:p>
    <w:p w14:paraId="171CCFAC" w14:textId="311140D8" w:rsidR="4EA55CA2" w:rsidRDefault="4EA55CA2" w:rsidP="00505BD2">
      <w:pPr>
        <w:pStyle w:val="ListParagraph"/>
        <w:numPr>
          <w:ilvl w:val="0"/>
          <w:numId w:val="16"/>
        </w:numPr>
        <w:shd w:val="clear" w:color="auto" w:fill="DAE9F7" w:themeFill="text2" w:themeFillTint="1A"/>
        <w:rPr>
          <w:rFonts w:ascii="Aptos" w:eastAsia="Aptos" w:hAnsi="Aptos" w:cs="Aptos"/>
          <w:color w:val="000000" w:themeColor="text1"/>
        </w:rPr>
      </w:pPr>
      <w:r w:rsidRPr="00CC5DE0">
        <w:rPr>
          <w:rFonts w:ascii="Aptos" w:eastAsia="Aptos" w:hAnsi="Aptos" w:cs="Aptos"/>
          <w:color w:val="000000" w:themeColor="text1"/>
          <w:szCs w:val="24"/>
        </w:rPr>
        <w:t>Promote/develop/implement resources and logging mechanisms to ensure that managers of researchers are effectively trained in relation to equality, diversity and inclusion, wellbeing and mental health (EC-I4).</w:t>
      </w:r>
    </w:p>
    <w:p w14:paraId="17A8D28E" w14:textId="4CD5EF96" w:rsidR="4EA55CA2" w:rsidRDefault="4EA55CA2" w:rsidP="00505BD2">
      <w:pPr>
        <w:pStyle w:val="ListParagraph"/>
        <w:numPr>
          <w:ilvl w:val="0"/>
          <w:numId w:val="16"/>
        </w:numPr>
        <w:shd w:val="clear" w:color="auto" w:fill="DAE9F7" w:themeFill="text2" w:themeFillTint="1A"/>
        <w:spacing w:after="0" w:line="240" w:lineRule="auto"/>
        <w:rPr>
          <w:rFonts w:ascii="Aptos" w:eastAsia="Aptos" w:hAnsi="Aptos" w:cs="Aptos"/>
          <w:color w:val="000000" w:themeColor="text1"/>
        </w:rPr>
      </w:pPr>
      <w:r w:rsidRPr="00CC5DE0">
        <w:rPr>
          <w:rFonts w:ascii="Aptos" w:eastAsia="Aptos" w:hAnsi="Aptos" w:cs="Aptos"/>
          <w:color w:val="000000" w:themeColor="text1"/>
          <w:szCs w:val="24"/>
        </w:rPr>
        <w:t>Managers must undertake relevant training and development opportunities related to equality, diversity and inclusion, and put this into practice in their work (EC-M1)</w:t>
      </w:r>
    </w:p>
    <w:p w14:paraId="7727F1ED" w14:textId="7CC879B7" w:rsidR="4EA55CA2" w:rsidRDefault="4EA55CA2" w:rsidP="00505BD2">
      <w:pPr>
        <w:pStyle w:val="ListParagraph"/>
        <w:numPr>
          <w:ilvl w:val="0"/>
          <w:numId w:val="16"/>
        </w:numPr>
        <w:shd w:val="clear" w:color="auto" w:fill="DAE9F7" w:themeFill="text2" w:themeFillTint="1A"/>
        <w:rPr>
          <w:rFonts w:ascii="Aptos" w:eastAsia="Aptos" w:hAnsi="Aptos" w:cs="Aptos"/>
          <w:color w:val="000000" w:themeColor="text1"/>
        </w:rPr>
      </w:pPr>
      <w:r w:rsidRPr="00CC5DE0">
        <w:rPr>
          <w:rFonts w:ascii="Aptos" w:eastAsia="Aptos" w:hAnsi="Aptos" w:cs="Aptos"/>
          <w:color w:val="000000" w:themeColor="text1"/>
          <w:szCs w:val="24"/>
        </w:rPr>
        <w:t>Consider fully, in accordance with statutory rights and institutional policies, flexible working requests and other appropriate arrangements to support researchers (EC-M4)</w:t>
      </w:r>
    </w:p>
    <w:p w14:paraId="69C606FD" w14:textId="15F85269" w:rsidR="24F8A5F8" w:rsidRDefault="24F8A5F8" w:rsidP="24F8A5F8">
      <w:pPr>
        <w:pStyle w:val="ListParagraph"/>
        <w:ind w:left="0"/>
      </w:pPr>
    </w:p>
    <w:p w14:paraId="62C47D41" w14:textId="3C316511" w:rsidR="269D323A" w:rsidRDefault="269D323A" w:rsidP="24F8A5F8">
      <w:pPr>
        <w:pStyle w:val="Heading3"/>
        <w:shd w:val="clear" w:color="auto" w:fill="153D63" w:themeFill="text2" w:themeFillTint="E6"/>
        <w:spacing w:before="120" w:after="120" w:line="300" w:lineRule="auto"/>
        <w:rPr>
          <w:rFonts w:ascii="Segoe UI" w:eastAsia="Segoe UI" w:hAnsi="Segoe UI" w:cs="Segoe UI"/>
          <w:b w:val="0"/>
          <w:bCs w:val="0"/>
          <w:color w:val="FFFFFF" w:themeColor="background1"/>
          <w:szCs w:val="24"/>
        </w:rPr>
      </w:pPr>
      <w:r w:rsidRPr="24F8A5F8">
        <w:rPr>
          <w:rFonts w:ascii="Segoe UI" w:eastAsia="Segoe UI" w:hAnsi="Segoe UI" w:cs="Segoe UI"/>
          <w:b w:val="0"/>
          <w:bCs w:val="0"/>
          <w:color w:val="FFFFFF" w:themeColor="background1"/>
          <w:szCs w:val="24"/>
        </w:rPr>
        <w:t xml:space="preserve"> </w:t>
      </w:r>
      <w:r w:rsidR="464DCCCF" w:rsidRPr="24F8A5F8">
        <w:rPr>
          <w:rFonts w:ascii="Segoe UI" w:eastAsia="Segoe UI" w:hAnsi="Segoe UI" w:cs="Segoe UI"/>
          <w:b w:val="0"/>
          <w:bCs w:val="0"/>
          <w:color w:val="FFFFFF" w:themeColor="background1"/>
          <w:szCs w:val="24"/>
        </w:rPr>
        <w:t>Theme 4 — Research Integrity, Ethics &amp; Responsible Practice</w:t>
      </w:r>
    </w:p>
    <w:p w14:paraId="722ED635" w14:textId="36FA8308" w:rsidR="464DCCCF" w:rsidRDefault="464DCCCF" w:rsidP="24F8A5F8">
      <w:r w:rsidRPr="24F8A5F8">
        <w:t>This theme strengthens the principles, behaviours and systems that uphold ethical, responsible and high‑integrity research practice.</w:t>
      </w:r>
    </w:p>
    <w:p w14:paraId="0E02A193" w14:textId="2E889EBD" w:rsidR="4959A8D1" w:rsidRDefault="4959A8D1"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15"/>
        <w:gridCol w:w="4005"/>
        <w:gridCol w:w="1045"/>
        <w:gridCol w:w="1005"/>
      </w:tblGrid>
      <w:tr w:rsidR="24F8A5F8" w14:paraId="65EA56A9" w14:textId="77777777" w:rsidTr="7F264DF7">
        <w:trPr>
          <w:trHeight w:val="495"/>
        </w:trPr>
        <w:tc>
          <w:tcPr>
            <w:tcW w:w="3815" w:type="dxa"/>
            <w:shd w:val="clear" w:color="auto" w:fill="A5C9EB" w:themeFill="text2" w:themeFillTint="40"/>
            <w:vAlign w:val="center"/>
          </w:tcPr>
          <w:p w14:paraId="24853E9B" w14:textId="0C24131D" w:rsidR="24F8A5F8" w:rsidRDefault="24F8A5F8" w:rsidP="24F8A5F8">
            <w:pPr>
              <w:rPr>
                <w:b/>
                <w:bCs/>
                <w:color w:val="153D63" w:themeColor="text2" w:themeTint="E6"/>
                <w:szCs w:val="24"/>
              </w:rPr>
            </w:pPr>
            <w:r w:rsidRPr="24F8A5F8">
              <w:rPr>
                <w:b/>
                <w:bCs/>
                <w:color w:val="153D63" w:themeColor="text2" w:themeTint="E6"/>
                <w:szCs w:val="24"/>
              </w:rPr>
              <w:t>Action</w:t>
            </w:r>
          </w:p>
        </w:tc>
        <w:tc>
          <w:tcPr>
            <w:tcW w:w="4005" w:type="dxa"/>
            <w:shd w:val="clear" w:color="auto" w:fill="A5C9EB" w:themeFill="text2" w:themeFillTint="40"/>
            <w:vAlign w:val="center"/>
          </w:tcPr>
          <w:p w14:paraId="0981F920" w14:textId="576DA5F8" w:rsidR="24F8A5F8" w:rsidRDefault="24F8A5F8" w:rsidP="24F8A5F8">
            <w:pPr>
              <w:rPr>
                <w:b/>
                <w:bCs/>
                <w:color w:val="153D63" w:themeColor="text2" w:themeTint="E6"/>
                <w:szCs w:val="24"/>
              </w:rPr>
            </w:pPr>
            <w:r w:rsidRPr="24F8A5F8">
              <w:rPr>
                <w:b/>
                <w:bCs/>
                <w:color w:val="153D63" w:themeColor="text2" w:themeTint="E6"/>
                <w:szCs w:val="24"/>
              </w:rPr>
              <w:t>Success</w:t>
            </w:r>
          </w:p>
        </w:tc>
        <w:tc>
          <w:tcPr>
            <w:tcW w:w="1045" w:type="dxa"/>
            <w:shd w:val="clear" w:color="auto" w:fill="A5C9EB" w:themeFill="text2" w:themeFillTint="40"/>
            <w:vAlign w:val="center"/>
          </w:tcPr>
          <w:p w14:paraId="71B1E7F9" w14:textId="714DB183" w:rsidR="24F8A5F8" w:rsidRDefault="24F8A5F8" w:rsidP="24F8A5F8">
            <w:pPr>
              <w:jc w:val="center"/>
              <w:rPr>
                <w:b/>
                <w:bCs/>
                <w:color w:val="153D63" w:themeColor="text2" w:themeTint="E6"/>
                <w:szCs w:val="24"/>
              </w:rPr>
            </w:pPr>
            <w:r w:rsidRPr="24F8A5F8">
              <w:rPr>
                <w:b/>
                <w:bCs/>
                <w:color w:val="153D63" w:themeColor="text2" w:themeTint="E6"/>
                <w:szCs w:val="24"/>
              </w:rPr>
              <w:t>Lead</w:t>
            </w:r>
          </w:p>
        </w:tc>
        <w:tc>
          <w:tcPr>
            <w:tcW w:w="1005" w:type="dxa"/>
            <w:shd w:val="clear" w:color="auto" w:fill="A5C9EB" w:themeFill="text2" w:themeFillTint="40"/>
            <w:vAlign w:val="center"/>
          </w:tcPr>
          <w:p w14:paraId="2448C158" w14:textId="1E21A64B" w:rsidR="24F8A5F8" w:rsidRDefault="24F8A5F8" w:rsidP="24F8A5F8">
            <w:pPr>
              <w:jc w:val="center"/>
              <w:rPr>
                <w:b/>
                <w:bCs/>
                <w:color w:val="153D63" w:themeColor="text2" w:themeTint="E6"/>
                <w:szCs w:val="24"/>
              </w:rPr>
            </w:pPr>
            <w:r w:rsidRPr="24F8A5F8">
              <w:rPr>
                <w:b/>
                <w:bCs/>
                <w:color w:val="153D63" w:themeColor="text2" w:themeTint="E6"/>
                <w:szCs w:val="24"/>
              </w:rPr>
              <w:t>Due</w:t>
            </w:r>
          </w:p>
        </w:tc>
      </w:tr>
      <w:tr w:rsidR="24F8A5F8" w14:paraId="359B1594" w14:textId="77777777" w:rsidTr="7F264DF7">
        <w:trPr>
          <w:trHeight w:val="3000"/>
        </w:trPr>
        <w:tc>
          <w:tcPr>
            <w:tcW w:w="3815" w:type="dxa"/>
          </w:tcPr>
          <w:p w14:paraId="0F2E2DD3" w14:textId="0180D751" w:rsidR="24F8A5F8" w:rsidRDefault="24F8A5F8" w:rsidP="24F8A5F8">
            <w:pPr>
              <w:spacing w:before="120" w:after="120"/>
              <w:rPr>
                <w:color w:val="000000" w:themeColor="text1"/>
              </w:rPr>
            </w:pPr>
            <w:r w:rsidRPr="008176EB">
              <w:rPr>
                <w:color w:val="000000" w:themeColor="text1"/>
                <w:szCs w:val="24"/>
              </w:rPr>
              <w:t>Offer a programme of development supporting responsible research and research integrity in line with our responsible metrics and open research statements, with strategic oversight by the Researcher Development Steering Group.</w:t>
            </w:r>
          </w:p>
        </w:tc>
        <w:tc>
          <w:tcPr>
            <w:tcW w:w="4005" w:type="dxa"/>
          </w:tcPr>
          <w:p w14:paraId="4FB3B394" w14:textId="377A6687" w:rsidR="24F8A5F8" w:rsidRDefault="24F8A5F8" w:rsidP="24F8A5F8">
            <w:pPr>
              <w:spacing w:before="120" w:after="120"/>
              <w:rPr>
                <w:color w:val="000000" w:themeColor="text1"/>
              </w:rPr>
            </w:pPr>
            <w:r w:rsidRPr="008176EB">
              <w:rPr>
                <w:color w:val="000000" w:themeColor="text1"/>
                <w:szCs w:val="24"/>
              </w:rPr>
              <w:t>Monitor uptake of the Research Integrity development programme and resources available on the Research Integrity part of our website. Immediate feedback indicating that provision meets their needs.</w:t>
            </w:r>
          </w:p>
          <w:p w14:paraId="4094A1D7" w14:textId="40E7ED9C" w:rsidR="24F8A5F8" w:rsidRDefault="24F8A5F8" w:rsidP="24F8A5F8">
            <w:pPr>
              <w:spacing w:before="120" w:after="120"/>
              <w:rPr>
                <w:color w:val="000000" w:themeColor="text1"/>
              </w:rPr>
            </w:pPr>
            <w:r w:rsidRPr="008176EB">
              <w:rPr>
                <w:color w:val="000000" w:themeColor="text1"/>
                <w:szCs w:val="24"/>
              </w:rPr>
              <w:t>Responsible Research and Research Integrity to be a standing item on the Researcher Development Steering Group.</w:t>
            </w:r>
          </w:p>
        </w:tc>
        <w:tc>
          <w:tcPr>
            <w:tcW w:w="1045" w:type="dxa"/>
          </w:tcPr>
          <w:p w14:paraId="7F557661" w14:textId="7ED36746" w:rsidR="24F8A5F8" w:rsidRDefault="24F8A5F8" w:rsidP="24F8A5F8">
            <w:pPr>
              <w:spacing w:before="120" w:after="120"/>
              <w:jc w:val="center"/>
            </w:pPr>
            <w:r w:rsidRPr="008176EB">
              <w:rPr>
                <w:szCs w:val="24"/>
              </w:rPr>
              <w:t>RDRC Team</w:t>
            </w:r>
          </w:p>
        </w:tc>
        <w:tc>
          <w:tcPr>
            <w:tcW w:w="1005" w:type="dxa"/>
          </w:tcPr>
          <w:p w14:paraId="62B08066" w14:textId="56803EEC" w:rsidR="24F8A5F8" w:rsidRDefault="24F8A5F8" w:rsidP="24F8A5F8">
            <w:pPr>
              <w:spacing w:before="120" w:after="120"/>
              <w:jc w:val="center"/>
            </w:pPr>
            <w:r w:rsidRPr="008176EB">
              <w:rPr>
                <w:szCs w:val="24"/>
              </w:rPr>
              <w:t>Dec 2026</w:t>
            </w:r>
          </w:p>
        </w:tc>
      </w:tr>
      <w:tr w:rsidR="24F8A5F8" w14:paraId="7A715A3C" w14:textId="77777777" w:rsidTr="7F264DF7">
        <w:trPr>
          <w:trHeight w:val="300"/>
        </w:trPr>
        <w:tc>
          <w:tcPr>
            <w:tcW w:w="3815" w:type="dxa"/>
          </w:tcPr>
          <w:p w14:paraId="633183D3" w14:textId="4F601102" w:rsidR="78B2709A" w:rsidRDefault="031860EC" w:rsidP="24F8A5F8">
            <w:pPr>
              <w:spacing w:before="120" w:after="120"/>
            </w:pPr>
            <w:r w:rsidRPr="106549D5">
              <w:rPr>
                <w:b/>
              </w:rPr>
              <w:t>*</w:t>
            </w:r>
            <w:r w:rsidR="45A6C65F" w:rsidRPr="106549D5">
              <w:rPr>
                <w:b/>
              </w:rPr>
              <w:t xml:space="preserve">NEW: </w:t>
            </w:r>
            <w:r w:rsidR="45A6C65F" w:rsidRPr="106549D5">
              <w:t xml:space="preserve"> Undertake a mapping of Research Integrity development, identifying existing resources, those to update and </w:t>
            </w:r>
            <w:r w:rsidR="3296A050" w:rsidRPr="106549D5">
              <w:t>potential gaps.</w:t>
            </w:r>
          </w:p>
        </w:tc>
        <w:tc>
          <w:tcPr>
            <w:tcW w:w="4005" w:type="dxa"/>
          </w:tcPr>
          <w:p w14:paraId="1FC7C646" w14:textId="367CE66E" w:rsidR="081E0BDA" w:rsidRDefault="081E0BDA" w:rsidP="24F8A5F8">
            <w:pPr>
              <w:spacing w:before="120" w:after="120"/>
            </w:pPr>
            <w:r w:rsidRPr="24F8A5F8">
              <w:t>Mapping completed and documented, detailing all current Research Integrity development resources, updates required, and identified gaps. Priority list of updates and new resource development agreed and presented to Research and Innovation Board.</w:t>
            </w:r>
          </w:p>
        </w:tc>
        <w:tc>
          <w:tcPr>
            <w:tcW w:w="1045" w:type="dxa"/>
          </w:tcPr>
          <w:p w14:paraId="7A048700" w14:textId="585DB74E" w:rsidR="081E0BDA" w:rsidRDefault="081E0BDA" w:rsidP="7F264DF7">
            <w:pPr>
              <w:spacing w:before="120" w:after="120"/>
              <w:jc w:val="center"/>
            </w:pPr>
            <w:r>
              <w:t>RDRC Team</w:t>
            </w:r>
          </w:p>
        </w:tc>
        <w:tc>
          <w:tcPr>
            <w:tcW w:w="1005" w:type="dxa"/>
          </w:tcPr>
          <w:p w14:paraId="2055541D" w14:textId="6D80434E" w:rsidR="081E0BDA" w:rsidRDefault="081E0BDA" w:rsidP="7F264DF7">
            <w:pPr>
              <w:spacing w:before="120" w:after="120"/>
              <w:jc w:val="center"/>
            </w:pPr>
            <w:r>
              <w:t>July 2026</w:t>
            </w:r>
          </w:p>
        </w:tc>
      </w:tr>
    </w:tbl>
    <w:p w14:paraId="15641F51" w14:textId="6D27D109" w:rsidR="4959A8D1" w:rsidRDefault="4959A8D1" w:rsidP="24F8A5F8">
      <w:pPr>
        <w:pStyle w:val="Heading2"/>
        <w:spacing w:after="240"/>
        <w:rPr>
          <w:color w:val="153D63" w:themeColor="text2" w:themeTint="E6"/>
        </w:rPr>
      </w:pPr>
      <w:r w:rsidRPr="24F8A5F8">
        <w:rPr>
          <w:color w:val="153D63" w:themeColor="text2" w:themeTint="E6"/>
        </w:rPr>
        <w:lastRenderedPageBreak/>
        <w:t>Previous actions embedded as ongoing provision:</w:t>
      </w:r>
    </w:p>
    <w:p w14:paraId="74B61745" w14:textId="6D40B4C9" w:rsidR="1801BB4B" w:rsidRDefault="1801BB4B" w:rsidP="24F8A5F8">
      <w:pPr>
        <w:pStyle w:val="ListParagraph"/>
        <w:numPr>
          <w:ilvl w:val="0"/>
          <w:numId w:val="10"/>
        </w:numPr>
        <w:spacing w:beforeAutospacing="1" w:after="0" w:afterAutospacing="1" w:line="240" w:lineRule="auto"/>
      </w:pPr>
      <w:r w:rsidRPr="008176EB">
        <w:rPr>
          <w:color w:val="000000" w:themeColor="text1"/>
          <w:szCs w:val="24"/>
        </w:rPr>
        <w:t>Research Integrity Concordat annual reporting. Introduce short resources to highlight misconduct reporting processes.</w:t>
      </w:r>
    </w:p>
    <w:p w14:paraId="290A5B15" w14:textId="66216C13" w:rsidR="24F8A5F8" w:rsidRPr="008176EB" w:rsidRDefault="5602018B" w:rsidP="008176EB">
      <w:pPr>
        <w:pStyle w:val="ListParagraph"/>
        <w:numPr>
          <w:ilvl w:val="0"/>
          <w:numId w:val="10"/>
        </w:numPr>
        <w:spacing w:beforeAutospacing="1" w:after="0" w:afterAutospacing="1" w:line="240" w:lineRule="auto"/>
        <w:rPr>
          <w:szCs w:val="24"/>
        </w:rPr>
      </w:pPr>
      <w:r w:rsidRPr="008176EB">
        <w:rPr>
          <w:color w:val="000000" w:themeColor="text1"/>
          <w:szCs w:val="24"/>
        </w:rPr>
        <w:t>Promotion of webpages and resources to support the Research Ethics and Research Integrity provision.</w:t>
      </w:r>
    </w:p>
    <w:p w14:paraId="4CDAC448" w14:textId="5CE051AC" w:rsidR="4959A8D1" w:rsidRDefault="4959A8D1" w:rsidP="008176EB">
      <w:pPr>
        <w:pStyle w:val="Heading2"/>
        <w:shd w:val="clear" w:color="auto" w:fill="DAE9F7" w:themeFill="text2" w:themeFillTint="1A"/>
        <w:spacing w:after="240"/>
        <w:rPr>
          <w:color w:val="153D63" w:themeColor="text2" w:themeTint="E6"/>
        </w:rPr>
      </w:pPr>
      <w:r w:rsidRPr="24F8A5F8">
        <w:rPr>
          <w:color w:val="153D63" w:themeColor="text2" w:themeTint="E6"/>
        </w:rPr>
        <w:t>Mapped principles:</w:t>
      </w:r>
    </w:p>
    <w:p w14:paraId="59E39495" w14:textId="4A2D9A96" w:rsidR="50C9034D" w:rsidRDefault="50C9034D" w:rsidP="008176EB">
      <w:pPr>
        <w:pStyle w:val="ListParagraph"/>
        <w:numPr>
          <w:ilvl w:val="0"/>
          <w:numId w:val="8"/>
        </w:numPr>
        <w:shd w:val="clear" w:color="auto" w:fill="DAE9F7" w:themeFill="text2" w:themeFillTint="1A"/>
        <w:rPr>
          <w:rFonts w:ascii="Aptos" w:eastAsia="Aptos" w:hAnsi="Aptos" w:cs="Aptos"/>
          <w:color w:val="000000" w:themeColor="text1"/>
        </w:rPr>
      </w:pPr>
      <w:r w:rsidRPr="24F8A5F8">
        <w:t>Leeds will ensure researchers and their managers are aware of, and act in accordance with, the highest standards of research integrity (EC-I5).  </w:t>
      </w:r>
    </w:p>
    <w:p w14:paraId="33561FEB" w14:textId="7CA62FBF" w:rsidR="50C9034D" w:rsidRDefault="50C9034D" w:rsidP="008176EB">
      <w:pPr>
        <w:pStyle w:val="ListParagraph"/>
        <w:numPr>
          <w:ilvl w:val="0"/>
          <w:numId w:val="8"/>
        </w:numPr>
        <w:shd w:val="clear" w:color="auto" w:fill="DAE9F7" w:themeFill="text2" w:themeFillTint="1A"/>
        <w:rPr>
          <w:rFonts w:ascii="Aptos" w:eastAsia="Aptos" w:hAnsi="Aptos" w:cs="Aptos"/>
          <w:color w:val="000000" w:themeColor="text1"/>
        </w:rPr>
      </w:pPr>
      <w:r w:rsidRPr="24F8A5F8">
        <w:t>Managers and researchers must act in accordance with the highest standards of research integrity and professional conduct (EC-M2), and with employer and funder policies related to research integrity, and equality, diversity and inclusion (EC-R2)</w:t>
      </w:r>
    </w:p>
    <w:p w14:paraId="6E612C9C" w14:textId="1751B6C1" w:rsidR="50C9034D" w:rsidRDefault="50C9034D" w:rsidP="008176EB">
      <w:pPr>
        <w:pStyle w:val="ListParagraph"/>
        <w:numPr>
          <w:ilvl w:val="0"/>
          <w:numId w:val="8"/>
        </w:numPr>
        <w:shd w:val="clear" w:color="auto" w:fill="DAE9F7" w:themeFill="text2" w:themeFillTint="1A"/>
        <w:rPr>
          <w:rFonts w:ascii="Aptos" w:eastAsia="Aptos" w:hAnsi="Aptos" w:cs="Aptos"/>
          <w:color w:val="000000" w:themeColor="text1"/>
        </w:rPr>
      </w:pPr>
      <w:r w:rsidRPr="24F8A5F8">
        <w:t>Researchers will use available mechanisms to report staff who fail to meet the expected standards of behaviour, particularly in relation to research misconduct (EC-R4).</w:t>
      </w:r>
    </w:p>
    <w:p w14:paraId="456BEED3" w14:textId="4215E906" w:rsidR="24F8A5F8" w:rsidRDefault="24F8A5F8" w:rsidP="24F8A5F8">
      <w:pPr>
        <w:spacing w:before="210" w:after="210" w:line="300" w:lineRule="auto"/>
        <w:rPr>
          <w:rFonts w:ascii="Segoe UI" w:eastAsia="Segoe UI" w:hAnsi="Segoe UI" w:cs="Segoe UI"/>
          <w:sz w:val="21"/>
          <w:szCs w:val="21"/>
        </w:rPr>
      </w:pPr>
    </w:p>
    <w:p w14:paraId="38F66D99" w14:textId="39ECC3DF" w:rsidR="510E4C38" w:rsidRDefault="510E4C38" w:rsidP="24F8A5F8">
      <w:pPr>
        <w:pStyle w:val="Heading2"/>
        <w:shd w:val="clear" w:color="auto" w:fill="153D63" w:themeFill="text2" w:themeFillTint="E6"/>
        <w:rPr>
          <w:rFonts w:ascii="Segoe UI" w:eastAsia="Segoe UI" w:hAnsi="Segoe UI" w:cs="Segoe UI"/>
          <w:b w:val="0"/>
          <w:bCs w:val="0"/>
          <w:color w:val="FFFFFF" w:themeColor="background1"/>
          <w:sz w:val="24"/>
          <w:szCs w:val="24"/>
        </w:rPr>
      </w:pPr>
      <w:r w:rsidRPr="24F8A5F8">
        <w:rPr>
          <w:b w:val="0"/>
          <w:bCs w:val="0"/>
          <w:color w:val="FFFFFF" w:themeColor="background1"/>
        </w:rPr>
        <w:t xml:space="preserve"> </w:t>
      </w:r>
      <w:r w:rsidR="464DCCCF" w:rsidRPr="24F8A5F8">
        <w:rPr>
          <w:b w:val="0"/>
          <w:bCs w:val="0"/>
          <w:color w:val="FFFFFF" w:themeColor="background1"/>
        </w:rPr>
        <w:t>Theme 5 — Employment, Recruitment, Induction &amp; Job Security</w:t>
      </w:r>
    </w:p>
    <w:p w14:paraId="747186DA" w14:textId="1D67320D" w:rsidR="464DCCCF" w:rsidRDefault="464DCCCF" w:rsidP="008176EB">
      <w:pPr>
        <w:spacing w:before="120"/>
      </w:pPr>
      <w:r w:rsidRPr="24F8A5F8">
        <w:t>This theme focuses on fair, transparent employment practices, effective induction and improved job security to support stable and supportive research careers.</w:t>
      </w:r>
    </w:p>
    <w:p w14:paraId="7BA50E23" w14:textId="2E889EBD" w:rsidR="2865AA38" w:rsidRDefault="2865AA38" w:rsidP="24F8A5F8">
      <w:pPr>
        <w:pStyle w:val="Heading2"/>
        <w:spacing w:after="240"/>
        <w:rPr>
          <w:color w:val="0E2740"/>
        </w:rPr>
      </w:pPr>
      <w:r w:rsidRPr="24F8A5F8">
        <w:rPr>
          <w:color w:val="0E2740"/>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16"/>
        <w:gridCol w:w="4000"/>
        <w:gridCol w:w="1044"/>
        <w:gridCol w:w="1010"/>
      </w:tblGrid>
      <w:tr w:rsidR="24F8A5F8" w14:paraId="7DAFDE1C" w14:textId="77777777" w:rsidTr="7F264DF7">
        <w:trPr>
          <w:trHeight w:val="495"/>
        </w:trPr>
        <w:tc>
          <w:tcPr>
            <w:tcW w:w="3870" w:type="dxa"/>
            <w:shd w:val="clear" w:color="auto" w:fill="A5C9EB" w:themeFill="text2" w:themeFillTint="40"/>
            <w:vAlign w:val="center"/>
          </w:tcPr>
          <w:p w14:paraId="5D63C8F7" w14:textId="0C24131D" w:rsidR="24F8A5F8" w:rsidRDefault="24F8A5F8" w:rsidP="24F8A5F8">
            <w:pPr>
              <w:rPr>
                <w:b/>
                <w:bCs/>
                <w:szCs w:val="24"/>
              </w:rPr>
            </w:pPr>
            <w:r w:rsidRPr="24F8A5F8">
              <w:rPr>
                <w:b/>
                <w:bCs/>
                <w:szCs w:val="24"/>
              </w:rPr>
              <w:t>Action</w:t>
            </w:r>
          </w:p>
        </w:tc>
        <w:tc>
          <w:tcPr>
            <w:tcW w:w="4065" w:type="dxa"/>
            <w:shd w:val="clear" w:color="auto" w:fill="A5C9EB" w:themeFill="text2" w:themeFillTint="40"/>
            <w:vAlign w:val="center"/>
          </w:tcPr>
          <w:p w14:paraId="35DB0327" w14:textId="576DA5F8" w:rsidR="24F8A5F8" w:rsidRDefault="24F8A5F8" w:rsidP="24F8A5F8">
            <w:pPr>
              <w:rPr>
                <w:b/>
                <w:bCs/>
                <w:szCs w:val="24"/>
              </w:rPr>
            </w:pPr>
            <w:r w:rsidRPr="24F8A5F8">
              <w:rPr>
                <w:b/>
                <w:bCs/>
                <w:szCs w:val="24"/>
              </w:rPr>
              <w:t>Success</w:t>
            </w:r>
          </w:p>
        </w:tc>
        <w:tc>
          <w:tcPr>
            <w:tcW w:w="1050" w:type="dxa"/>
            <w:shd w:val="clear" w:color="auto" w:fill="A5C9EB" w:themeFill="text2" w:themeFillTint="40"/>
            <w:vAlign w:val="center"/>
          </w:tcPr>
          <w:p w14:paraId="3FEF8328" w14:textId="714DB183" w:rsidR="24F8A5F8" w:rsidRDefault="24F8A5F8" w:rsidP="24F8A5F8">
            <w:pPr>
              <w:jc w:val="center"/>
              <w:rPr>
                <w:b/>
                <w:bCs/>
                <w:szCs w:val="24"/>
              </w:rPr>
            </w:pPr>
            <w:r w:rsidRPr="24F8A5F8">
              <w:rPr>
                <w:b/>
                <w:bCs/>
                <w:szCs w:val="24"/>
              </w:rPr>
              <w:t>Lead</w:t>
            </w:r>
          </w:p>
        </w:tc>
        <w:tc>
          <w:tcPr>
            <w:tcW w:w="1012" w:type="dxa"/>
            <w:shd w:val="clear" w:color="auto" w:fill="A5C9EB" w:themeFill="text2" w:themeFillTint="40"/>
            <w:vAlign w:val="center"/>
          </w:tcPr>
          <w:p w14:paraId="7181D09B" w14:textId="1E21A64B" w:rsidR="24F8A5F8" w:rsidRDefault="24F8A5F8" w:rsidP="24F8A5F8">
            <w:pPr>
              <w:jc w:val="center"/>
              <w:rPr>
                <w:b/>
                <w:bCs/>
                <w:szCs w:val="24"/>
              </w:rPr>
            </w:pPr>
            <w:r w:rsidRPr="24F8A5F8">
              <w:rPr>
                <w:b/>
                <w:bCs/>
                <w:szCs w:val="24"/>
              </w:rPr>
              <w:t>Due</w:t>
            </w:r>
          </w:p>
        </w:tc>
      </w:tr>
      <w:tr w:rsidR="24F8A5F8" w14:paraId="39DFB2AC" w14:textId="77777777" w:rsidTr="7F264DF7">
        <w:trPr>
          <w:trHeight w:val="1275"/>
        </w:trPr>
        <w:tc>
          <w:tcPr>
            <w:tcW w:w="3870" w:type="dxa"/>
          </w:tcPr>
          <w:p w14:paraId="50451143" w14:textId="74AF7910" w:rsidR="24F8A5F8" w:rsidRDefault="008176EB" w:rsidP="24F8A5F8">
            <w:pPr>
              <w:spacing w:before="120" w:after="120"/>
              <w:rPr>
                <w:rFonts w:ascii="Calibri" w:eastAsia="Calibri" w:hAnsi="Calibri" w:cs="Calibri"/>
                <w:color w:val="000000" w:themeColor="text1"/>
                <w:sz w:val="20"/>
                <w:szCs w:val="20"/>
              </w:rPr>
            </w:pPr>
            <w:r>
              <w:t>W</w:t>
            </w:r>
            <w:r w:rsidR="24F8A5F8" w:rsidRPr="24F8A5F8">
              <w:t>ork across the sector to influence and implement initiatives like Narrative CVs and Resume for Research and Innovation.</w:t>
            </w:r>
          </w:p>
        </w:tc>
        <w:tc>
          <w:tcPr>
            <w:tcW w:w="4065" w:type="dxa"/>
          </w:tcPr>
          <w:p w14:paraId="7C7CB5CD" w14:textId="05FC6508" w:rsidR="24F8A5F8" w:rsidRDefault="24F8A5F8" w:rsidP="24F8A5F8">
            <w:pPr>
              <w:spacing w:before="120" w:after="120"/>
              <w:rPr>
                <w:rFonts w:ascii="Calibri" w:eastAsia="Calibri" w:hAnsi="Calibri" w:cs="Calibri"/>
                <w:color w:val="000000" w:themeColor="text1"/>
                <w:sz w:val="20"/>
                <w:szCs w:val="20"/>
              </w:rPr>
            </w:pPr>
            <w:r w:rsidRPr="24F8A5F8">
              <w:t>Engagement with initiatives including the UKRI Alternative Uses Group, Researchers 14 and the N8 PDRA group.</w:t>
            </w:r>
          </w:p>
        </w:tc>
        <w:tc>
          <w:tcPr>
            <w:tcW w:w="1050" w:type="dxa"/>
          </w:tcPr>
          <w:p w14:paraId="2EBA1B0E" w14:textId="0E2A668B" w:rsidR="18101767" w:rsidRDefault="18101767" w:rsidP="24F8A5F8">
            <w:pPr>
              <w:spacing w:before="120" w:after="120"/>
              <w:jc w:val="center"/>
            </w:pPr>
            <w:r>
              <w:t>RDRC Team</w:t>
            </w:r>
          </w:p>
        </w:tc>
        <w:tc>
          <w:tcPr>
            <w:tcW w:w="1012" w:type="dxa"/>
          </w:tcPr>
          <w:p w14:paraId="23AC2CC7" w14:textId="201757F7" w:rsidR="18101767" w:rsidRDefault="18101767" w:rsidP="24F8A5F8">
            <w:pPr>
              <w:spacing w:before="120" w:after="120"/>
              <w:jc w:val="center"/>
            </w:pPr>
            <w:r>
              <w:t>March 2028</w:t>
            </w:r>
          </w:p>
        </w:tc>
      </w:tr>
      <w:tr w:rsidR="24F8A5F8" w14:paraId="49662289" w14:textId="77777777" w:rsidTr="7F264DF7">
        <w:trPr>
          <w:trHeight w:val="2265"/>
        </w:trPr>
        <w:tc>
          <w:tcPr>
            <w:tcW w:w="3870" w:type="dxa"/>
          </w:tcPr>
          <w:p w14:paraId="3AE17D88" w14:textId="5A33EEFC" w:rsidR="24F8A5F8" w:rsidRDefault="008176EB" w:rsidP="24F8A5F8">
            <w:pPr>
              <w:spacing w:before="120" w:after="120"/>
              <w:rPr>
                <w:color w:val="000000" w:themeColor="text1"/>
              </w:rPr>
            </w:pPr>
            <w:r>
              <w:rPr>
                <w:color w:val="000000" w:themeColor="text1"/>
                <w:szCs w:val="24"/>
              </w:rPr>
              <w:t>C</w:t>
            </w:r>
            <w:r w:rsidR="24F8A5F8" w:rsidRPr="008176EB">
              <w:rPr>
                <w:color w:val="000000" w:themeColor="text1"/>
                <w:szCs w:val="24"/>
              </w:rPr>
              <w:t>reate an updated job specification for research staff that recognises the wider contributions they make and values more diverse forms of research outputs.</w:t>
            </w:r>
          </w:p>
        </w:tc>
        <w:tc>
          <w:tcPr>
            <w:tcW w:w="4065" w:type="dxa"/>
          </w:tcPr>
          <w:p w14:paraId="13781B64" w14:textId="2769411A" w:rsidR="24F8A5F8" w:rsidRDefault="24F8A5F8" w:rsidP="24F8A5F8">
            <w:pPr>
              <w:spacing w:before="120" w:after="120"/>
              <w:rPr>
                <w:color w:val="000000" w:themeColor="text1"/>
              </w:rPr>
            </w:pPr>
            <w:r w:rsidRPr="008176EB">
              <w:rPr>
                <w:color w:val="000000" w:themeColor="text1"/>
                <w:szCs w:val="24"/>
              </w:rPr>
              <w:t xml:space="preserve">Phase 1: Complete a mapping </w:t>
            </w:r>
            <w:r w:rsidR="00C50166">
              <w:rPr>
                <w:color w:val="000000" w:themeColor="text1"/>
                <w:szCs w:val="24"/>
              </w:rPr>
              <w:t>of</w:t>
            </w:r>
            <w:r w:rsidRPr="008176EB">
              <w:rPr>
                <w:color w:val="000000" w:themeColor="text1"/>
                <w:szCs w:val="24"/>
              </w:rPr>
              <w:t xml:space="preserve"> the range of activities research staff perform across the disciplines.</w:t>
            </w:r>
          </w:p>
          <w:p w14:paraId="0C16CC0A" w14:textId="5864EDF9" w:rsidR="24F8A5F8" w:rsidRDefault="24F8A5F8" w:rsidP="24F8A5F8">
            <w:pPr>
              <w:spacing w:before="120" w:after="120"/>
              <w:rPr>
                <w:color w:val="000000" w:themeColor="text1"/>
              </w:rPr>
            </w:pPr>
            <w:r w:rsidRPr="008176EB">
              <w:rPr>
                <w:color w:val="000000" w:themeColor="text1"/>
                <w:szCs w:val="24"/>
              </w:rPr>
              <w:t>Phase 2: Initiate a project with HR to update recruitment materials and promotion criteria to reflect the role of a member of research staff.</w:t>
            </w:r>
          </w:p>
        </w:tc>
        <w:tc>
          <w:tcPr>
            <w:tcW w:w="1050" w:type="dxa"/>
          </w:tcPr>
          <w:p w14:paraId="7D1E45C7" w14:textId="3DA8BC9E" w:rsidR="16BC91C4" w:rsidRDefault="16BC91C4" w:rsidP="7F264DF7">
            <w:pPr>
              <w:spacing w:before="120" w:after="120"/>
              <w:jc w:val="center"/>
            </w:pPr>
            <w:r>
              <w:t>RDRC Team</w:t>
            </w:r>
          </w:p>
          <w:p w14:paraId="10F77D0A" w14:textId="33044C13" w:rsidR="24F8A5F8" w:rsidRDefault="24F8A5F8" w:rsidP="7F264DF7">
            <w:pPr>
              <w:spacing w:before="120" w:after="120"/>
              <w:jc w:val="center"/>
            </w:pPr>
          </w:p>
          <w:p w14:paraId="504BDEB8" w14:textId="36883C47" w:rsidR="16BC91C4" w:rsidRDefault="16BC91C4" w:rsidP="7F264DF7">
            <w:pPr>
              <w:spacing w:before="120" w:after="120"/>
              <w:jc w:val="center"/>
            </w:pPr>
            <w:r>
              <w:t>PCD</w:t>
            </w:r>
          </w:p>
        </w:tc>
        <w:tc>
          <w:tcPr>
            <w:tcW w:w="1012" w:type="dxa"/>
          </w:tcPr>
          <w:p w14:paraId="084181F0" w14:textId="4B708F84" w:rsidR="16BC91C4" w:rsidRDefault="16BC91C4" w:rsidP="7F264DF7">
            <w:pPr>
              <w:spacing w:before="120" w:after="120"/>
              <w:jc w:val="center"/>
            </w:pPr>
            <w:r>
              <w:t>Sept 2026</w:t>
            </w:r>
          </w:p>
          <w:p w14:paraId="1A92570B" w14:textId="24F87241" w:rsidR="24F8A5F8" w:rsidRDefault="24F8A5F8" w:rsidP="7F264DF7">
            <w:pPr>
              <w:spacing w:before="120" w:after="120"/>
              <w:jc w:val="center"/>
            </w:pPr>
          </w:p>
          <w:p w14:paraId="51ABC2D2" w14:textId="6AFFF9A6" w:rsidR="16BC91C4" w:rsidRDefault="16BC91C4" w:rsidP="7F264DF7">
            <w:pPr>
              <w:spacing w:before="120" w:after="120"/>
              <w:jc w:val="center"/>
            </w:pPr>
            <w:r>
              <w:t>August 2027</w:t>
            </w:r>
          </w:p>
        </w:tc>
      </w:tr>
      <w:tr w:rsidR="24F8A5F8" w14:paraId="4F333B1F" w14:textId="77777777" w:rsidTr="7F264DF7">
        <w:trPr>
          <w:trHeight w:val="300"/>
        </w:trPr>
        <w:tc>
          <w:tcPr>
            <w:tcW w:w="3870" w:type="dxa"/>
          </w:tcPr>
          <w:p w14:paraId="21998BCB" w14:textId="2A7B1F67" w:rsidR="5248E24C" w:rsidRDefault="5248E24C" w:rsidP="008176EB">
            <w:pPr>
              <w:spacing w:before="120" w:after="120"/>
            </w:pPr>
            <w:r w:rsidRPr="008176EB">
              <w:rPr>
                <w:szCs w:val="24"/>
              </w:rPr>
              <w:t xml:space="preserve">Develop a welcome package ‘Supporting you as a researcher at Leeds’ with guides to support researchers in the first 3 years of their employment, highlighting </w:t>
            </w:r>
            <w:r w:rsidRPr="008176EB">
              <w:rPr>
                <w:szCs w:val="24"/>
              </w:rPr>
              <w:lastRenderedPageBreak/>
              <w:t xml:space="preserve">information at appropriate points, </w:t>
            </w:r>
            <w:r w:rsidR="00C50166">
              <w:rPr>
                <w:szCs w:val="24"/>
              </w:rPr>
              <w:t>including</w:t>
            </w:r>
            <w:r w:rsidRPr="008176EB">
              <w:rPr>
                <w:szCs w:val="24"/>
              </w:rPr>
              <w:t xml:space="preserve"> probation, SRDS information and redeployment. </w:t>
            </w:r>
          </w:p>
        </w:tc>
        <w:tc>
          <w:tcPr>
            <w:tcW w:w="4065" w:type="dxa"/>
          </w:tcPr>
          <w:p w14:paraId="3CF7D19E" w14:textId="56C84E9B" w:rsidR="24F8A5F8" w:rsidRPr="00C50166" w:rsidRDefault="24F8A5F8" w:rsidP="008176EB">
            <w:pPr>
              <w:spacing w:before="120" w:after="120"/>
              <w:rPr>
                <w:color w:val="000000" w:themeColor="text1"/>
              </w:rPr>
            </w:pPr>
            <w:r w:rsidRPr="008176EB">
              <w:rPr>
                <w:szCs w:val="24"/>
              </w:rPr>
              <w:lastRenderedPageBreak/>
              <w:t xml:space="preserve">Over 60% Good/Very good satisfaction levels from new starters, measured via a research staff survey. Researchers’ feedback indicates that induction contributed </w:t>
            </w:r>
            <w:r w:rsidRPr="008176EB">
              <w:rPr>
                <w:szCs w:val="24"/>
              </w:rPr>
              <w:lastRenderedPageBreak/>
              <w:t>to their feeling valued by the university. Engagement with the resources measured by analytics.</w:t>
            </w:r>
          </w:p>
        </w:tc>
        <w:tc>
          <w:tcPr>
            <w:tcW w:w="1050" w:type="dxa"/>
          </w:tcPr>
          <w:p w14:paraId="67CB96AE" w14:textId="21D11BCF" w:rsidR="0E75FDE1" w:rsidRDefault="0E75FDE1" w:rsidP="7F264DF7">
            <w:pPr>
              <w:spacing w:before="120" w:after="120"/>
              <w:jc w:val="center"/>
            </w:pPr>
            <w:r>
              <w:lastRenderedPageBreak/>
              <w:t>RDRC Team</w:t>
            </w:r>
          </w:p>
          <w:p w14:paraId="109BF302" w14:textId="6E384418" w:rsidR="0E75FDE1" w:rsidRDefault="0E75FDE1" w:rsidP="7F264DF7">
            <w:pPr>
              <w:spacing w:before="120" w:after="120"/>
              <w:jc w:val="center"/>
            </w:pPr>
            <w:r>
              <w:t>PCD</w:t>
            </w:r>
          </w:p>
        </w:tc>
        <w:tc>
          <w:tcPr>
            <w:tcW w:w="1012" w:type="dxa"/>
          </w:tcPr>
          <w:p w14:paraId="45E0A9FC" w14:textId="031CF366" w:rsidR="0E75FDE1" w:rsidRDefault="0E75FDE1" w:rsidP="7F264DF7">
            <w:pPr>
              <w:spacing w:before="120" w:after="120"/>
              <w:jc w:val="center"/>
            </w:pPr>
            <w:r>
              <w:t>Dec 2027</w:t>
            </w:r>
          </w:p>
        </w:tc>
      </w:tr>
      <w:tr w:rsidR="24F8A5F8" w14:paraId="6CAC2010" w14:textId="77777777" w:rsidTr="7F264DF7">
        <w:trPr>
          <w:trHeight w:val="300"/>
        </w:trPr>
        <w:tc>
          <w:tcPr>
            <w:tcW w:w="3870" w:type="dxa"/>
          </w:tcPr>
          <w:p w14:paraId="7157C0DB" w14:textId="1624D27C" w:rsidR="24F8A5F8" w:rsidRDefault="24F8A5F8" w:rsidP="008176EB">
            <w:pPr>
              <w:spacing w:before="120" w:after="120"/>
              <w:rPr>
                <w:rFonts w:ascii="Calibri" w:eastAsia="Calibri" w:hAnsi="Calibri" w:cs="Calibri"/>
                <w:color w:val="000000" w:themeColor="text1"/>
                <w:sz w:val="20"/>
                <w:szCs w:val="20"/>
              </w:rPr>
            </w:pPr>
            <w:r w:rsidRPr="24F8A5F8">
              <w:t>Work with HR to produce a Research Staff guide to progression, or other supporting resources.</w:t>
            </w:r>
          </w:p>
        </w:tc>
        <w:tc>
          <w:tcPr>
            <w:tcW w:w="4065" w:type="dxa"/>
          </w:tcPr>
          <w:p w14:paraId="26B7309B" w14:textId="31420281" w:rsidR="24F8A5F8" w:rsidRDefault="24F8A5F8" w:rsidP="008176EB">
            <w:pPr>
              <w:spacing w:before="120" w:after="120"/>
              <w:rPr>
                <w:rFonts w:ascii="Calibri" w:eastAsia="Calibri" w:hAnsi="Calibri" w:cs="Calibri"/>
                <w:color w:val="000000" w:themeColor="text1"/>
                <w:sz w:val="20"/>
                <w:szCs w:val="20"/>
              </w:rPr>
            </w:pPr>
            <w:r w:rsidRPr="24F8A5F8">
              <w:t xml:space="preserve">Production of a Research Staff guide to progression available on the HR </w:t>
            </w:r>
            <w:r w:rsidR="00C50166">
              <w:t xml:space="preserve">and </w:t>
            </w:r>
            <w:r w:rsidRPr="24F8A5F8">
              <w:t xml:space="preserve">researcher support websites. </w:t>
            </w:r>
            <w:r w:rsidR="008176EB">
              <w:t>Feedback</w:t>
            </w:r>
            <w:r w:rsidRPr="24F8A5F8">
              <w:t xml:space="preserve"> </w:t>
            </w:r>
            <w:r w:rsidR="004D589E">
              <w:t>confirms</w:t>
            </w:r>
            <w:r w:rsidRPr="24F8A5F8">
              <w:t xml:space="preserve"> it meets user needs.</w:t>
            </w:r>
          </w:p>
        </w:tc>
        <w:tc>
          <w:tcPr>
            <w:tcW w:w="1050" w:type="dxa"/>
          </w:tcPr>
          <w:p w14:paraId="5AEEA49E" w14:textId="05BB7894" w:rsidR="294E184A" w:rsidRDefault="294E184A" w:rsidP="7F264DF7">
            <w:pPr>
              <w:spacing w:before="120" w:after="120"/>
              <w:jc w:val="center"/>
            </w:pPr>
            <w:r>
              <w:t>RDRC Team</w:t>
            </w:r>
          </w:p>
          <w:p w14:paraId="02BF552E" w14:textId="7F4DD5A8" w:rsidR="294E184A" w:rsidRDefault="294E184A" w:rsidP="7F264DF7">
            <w:pPr>
              <w:spacing w:before="120" w:after="120"/>
              <w:jc w:val="center"/>
            </w:pPr>
            <w:r>
              <w:t>PCD</w:t>
            </w:r>
          </w:p>
        </w:tc>
        <w:tc>
          <w:tcPr>
            <w:tcW w:w="1012" w:type="dxa"/>
          </w:tcPr>
          <w:p w14:paraId="6217C744" w14:textId="0FF49236" w:rsidR="294E184A" w:rsidRDefault="294E184A" w:rsidP="7F264DF7">
            <w:pPr>
              <w:spacing w:before="120" w:after="120"/>
              <w:jc w:val="center"/>
            </w:pPr>
            <w:r>
              <w:t>Feb 2027</w:t>
            </w:r>
          </w:p>
        </w:tc>
      </w:tr>
      <w:tr w:rsidR="24F8A5F8" w14:paraId="35BAFE74" w14:textId="77777777" w:rsidTr="7F264DF7">
        <w:trPr>
          <w:trHeight w:val="300"/>
        </w:trPr>
        <w:tc>
          <w:tcPr>
            <w:tcW w:w="3870" w:type="dxa"/>
          </w:tcPr>
          <w:p w14:paraId="34400251" w14:textId="4B71C40C" w:rsidR="24F8A5F8" w:rsidRDefault="24F8A5F8" w:rsidP="008176EB">
            <w:pPr>
              <w:spacing w:before="120" w:after="120"/>
              <w:rPr>
                <w:rFonts w:ascii="Calibri" w:eastAsia="Calibri" w:hAnsi="Calibri" w:cs="Calibri"/>
                <w:color w:val="000000" w:themeColor="text1"/>
                <w:sz w:val="20"/>
                <w:szCs w:val="20"/>
              </w:rPr>
            </w:pPr>
            <w:r w:rsidRPr="24F8A5F8">
              <w:t>Create guidance to support SRDS or annual reviews to assist both researchers and reviewers, acknowledging that postdoctoral researchers may not undergo a formal SRDS in their first contract but will have discussions via probation.</w:t>
            </w:r>
          </w:p>
        </w:tc>
        <w:tc>
          <w:tcPr>
            <w:tcW w:w="4065" w:type="dxa"/>
          </w:tcPr>
          <w:p w14:paraId="6A2EB74C" w14:textId="2E16D8F2" w:rsidR="24F8A5F8" w:rsidRDefault="24F8A5F8" w:rsidP="008176EB">
            <w:pPr>
              <w:spacing w:before="120" w:after="120"/>
              <w:rPr>
                <w:rFonts w:ascii="Calibri" w:eastAsia="Calibri" w:hAnsi="Calibri" w:cs="Calibri"/>
                <w:color w:val="000000" w:themeColor="text1"/>
                <w:sz w:val="20"/>
                <w:szCs w:val="20"/>
              </w:rPr>
            </w:pPr>
            <w:r w:rsidRPr="24F8A5F8">
              <w:t>Guidance available to researchers and reviewers.  Positive feedback on the guide and its use.</w:t>
            </w:r>
          </w:p>
        </w:tc>
        <w:tc>
          <w:tcPr>
            <w:tcW w:w="1050" w:type="dxa"/>
          </w:tcPr>
          <w:p w14:paraId="565EAB7F" w14:textId="6037E125" w:rsidR="5A9CA1C2" w:rsidRDefault="5A9CA1C2" w:rsidP="7F264DF7">
            <w:pPr>
              <w:spacing w:before="120" w:after="120"/>
              <w:jc w:val="center"/>
              <w:rPr>
                <w:color w:val="153D63" w:themeColor="text2" w:themeTint="E6"/>
              </w:rPr>
            </w:pPr>
            <w:r>
              <w:t>RDRC Team</w:t>
            </w:r>
          </w:p>
          <w:p w14:paraId="2699DCE2" w14:textId="10A15137" w:rsidR="24F8A5F8" w:rsidRDefault="24F8A5F8" w:rsidP="7F264DF7">
            <w:pPr>
              <w:spacing w:before="120" w:after="120"/>
              <w:jc w:val="center"/>
            </w:pPr>
          </w:p>
          <w:p w14:paraId="4E2A5194" w14:textId="7FEFBC52" w:rsidR="5A9CA1C2" w:rsidRDefault="5A9CA1C2" w:rsidP="7F264DF7">
            <w:pPr>
              <w:spacing w:before="120" w:after="120"/>
              <w:jc w:val="center"/>
              <w:rPr>
                <w:color w:val="153D63" w:themeColor="text2" w:themeTint="E6"/>
              </w:rPr>
            </w:pPr>
            <w:r>
              <w:t>PCD</w:t>
            </w:r>
          </w:p>
        </w:tc>
        <w:tc>
          <w:tcPr>
            <w:tcW w:w="1012" w:type="dxa"/>
          </w:tcPr>
          <w:p w14:paraId="16FACF92" w14:textId="58DD3528" w:rsidR="5A9CA1C2" w:rsidRDefault="5A9CA1C2" w:rsidP="7F264DF7">
            <w:pPr>
              <w:spacing w:before="120" w:after="120"/>
              <w:jc w:val="center"/>
              <w:rPr>
                <w:color w:val="153D63" w:themeColor="text2" w:themeTint="E6"/>
              </w:rPr>
            </w:pPr>
            <w:r>
              <w:t>Sept 2026</w:t>
            </w:r>
          </w:p>
        </w:tc>
      </w:tr>
    </w:tbl>
    <w:p w14:paraId="671E121E" w14:textId="6D27D109" w:rsidR="2865AA38" w:rsidRDefault="2865AA38" w:rsidP="24F8A5F8">
      <w:pPr>
        <w:pStyle w:val="Heading2"/>
        <w:spacing w:after="240"/>
        <w:rPr>
          <w:color w:val="153D63" w:themeColor="text2" w:themeTint="E6"/>
        </w:rPr>
      </w:pPr>
      <w:r w:rsidRPr="24F8A5F8">
        <w:rPr>
          <w:color w:val="153D63" w:themeColor="text2" w:themeTint="E6"/>
        </w:rPr>
        <w:t>Previous actions embedded as ongoing provision:</w:t>
      </w:r>
    </w:p>
    <w:p w14:paraId="0A959BED" w14:textId="20E4BEDC" w:rsidR="453F13F7" w:rsidRDefault="453F13F7" w:rsidP="106549D5">
      <w:pPr>
        <w:pStyle w:val="ListParagraph"/>
        <w:numPr>
          <w:ilvl w:val="0"/>
          <w:numId w:val="6"/>
        </w:numPr>
      </w:pPr>
      <w:r w:rsidRPr="106549D5">
        <w:t>Continue to develop recruitment guidance, processes and materials including the language we use and the person specification to attract a more diverse applicant pool.</w:t>
      </w:r>
    </w:p>
    <w:p w14:paraId="52462C0E" w14:textId="137717C5" w:rsidR="5B319A0E" w:rsidRDefault="5B319A0E" w:rsidP="106549D5">
      <w:pPr>
        <w:pStyle w:val="ListParagraph"/>
        <w:numPr>
          <w:ilvl w:val="0"/>
          <w:numId w:val="6"/>
        </w:numPr>
      </w:pPr>
      <w:r w:rsidRPr="106549D5">
        <w:t>Support the retention of our Research Staff through our workforce planning deployment and redeployment processes by providing clear guidance to outline the scheme and increase engagement</w:t>
      </w:r>
      <w:r w:rsidR="0BB15C51" w:rsidRPr="106549D5">
        <w:t>.</w:t>
      </w:r>
    </w:p>
    <w:p w14:paraId="2398549F" w14:textId="45939817" w:rsidR="0BB15C51" w:rsidRDefault="0BB15C51" w:rsidP="106549D5">
      <w:pPr>
        <w:pStyle w:val="ListParagraph"/>
        <w:numPr>
          <w:ilvl w:val="0"/>
          <w:numId w:val="6"/>
        </w:numPr>
      </w:pPr>
      <w:r w:rsidRPr="106549D5">
        <w:t>Ensure all guidance around appraisal, promotion and workloads are developed in line with our institutional behaviours, and other institutional policies including the Concordat, Research Integrity, ED&amp;I and Research Metrics.</w:t>
      </w:r>
    </w:p>
    <w:p w14:paraId="7D76DF6F" w14:textId="23BBBCFB" w:rsidR="0E8BC6FC" w:rsidRDefault="0E8BC6FC" w:rsidP="106549D5">
      <w:pPr>
        <w:pStyle w:val="ListParagraph"/>
        <w:numPr>
          <w:ilvl w:val="0"/>
          <w:numId w:val="6"/>
        </w:numPr>
      </w:pPr>
      <w:r w:rsidRPr="106549D5">
        <w:t>Project to identify researchers with 12 months left on their contract to provide effective career development support through our existing Career Development programmes.</w:t>
      </w:r>
    </w:p>
    <w:p w14:paraId="26A8C807" w14:textId="31A9BF0E" w:rsidR="24F8A5F8" w:rsidRDefault="1D228F62" w:rsidP="106549D5">
      <w:pPr>
        <w:pStyle w:val="ListParagraph"/>
        <w:numPr>
          <w:ilvl w:val="0"/>
          <w:numId w:val="6"/>
        </w:numPr>
      </w:pPr>
      <w:r w:rsidRPr="106549D5">
        <w:t>Continue to ensure research staff have representation at committee level.</w:t>
      </w:r>
    </w:p>
    <w:p w14:paraId="4810F13F" w14:textId="5CE051AC" w:rsidR="2865AA38" w:rsidRDefault="2865AA38" w:rsidP="00A52D37">
      <w:pPr>
        <w:pStyle w:val="Heading2"/>
        <w:shd w:val="clear" w:color="auto" w:fill="DAE9F7" w:themeFill="text2" w:themeFillTint="1A"/>
        <w:spacing w:after="240"/>
        <w:rPr>
          <w:color w:val="153D63" w:themeColor="text2" w:themeTint="E6"/>
        </w:rPr>
      </w:pPr>
      <w:r w:rsidRPr="24F8A5F8">
        <w:rPr>
          <w:color w:val="153D63" w:themeColor="text2" w:themeTint="E6"/>
        </w:rPr>
        <w:t>Mapped principles:</w:t>
      </w:r>
    </w:p>
    <w:p w14:paraId="1984F729" w14:textId="0FBEC760"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t>Ensure open, transparent and merit-based recruitment, which attracts excellent researchers, using fair and inclusive selection and appointment practices (Emp-I1)</w:t>
      </w:r>
    </w:p>
    <w:p w14:paraId="5B12BFF1" w14:textId="55272896"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t>Provide an effective induction, ensuring that researchers are integrated into the community and are aware of policies and practices relevant to their position (Emp-I2)</w:t>
      </w:r>
    </w:p>
    <w:p w14:paraId="6D14094A" w14:textId="04DE1C75"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t xml:space="preserve">Managers and Researchers will familiarise themselves, and work in accordance with, relevant employment legislation and codes of practice, institutional policies, and the terms and conditions of their grant funders (EM2 and ER1), and understand their reporting obligations and responsibilities (ER2) </w:t>
      </w:r>
    </w:p>
    <w:p w14:paraId="79580F60" w14:textId="68E4BD5B"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lastRenderedPageBreak/>
        <w:t xml:space="preserve">Provide clear and transparent merit-based recognition, reward and promotion pathways that recognise the full range of researchers’ contributions, and the diversity of personal circumstances (EI3) to enable managers to commit to, and evidence, the inclusive, equitable and transparent recruitment, promotion, and reward of researchers (EM3) </w:t>
      </w:r>
    </w:p>
    <w:p w14:paraId="34295A46" w14:textId="14666716"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t xml:space="preserve">Seek to improve job security for researchers, for example through more effective redeployment processes and greater use of open-ended contracts, and report on progress (EI6) </w:t>
      </w:r>
    </w:p>
    <w:p w14:paraId="5AB2D006" w14:textId="6E3803B6" w:rsidR="51F31D8F" w:rsidRPr="00A52D37" w:rsidRDefault="51F31D8F" w:rsidP="00A52D37">
      <w:pPr>
        <w:pStyle w:val="ListParagraph"/>
        <w:numPr>
          <w:ilvl w:val="0"/>
          <w:numId w:val="14"/>
        </w:numPr>
        <w:shd w:val="clear" w:color="auto" w:fill="DAE9F7" w:themeFill="text2" w:themeFillTint="1A"/>
        <w:spacing w:after="0" w:line="300" w:lineRule="auto"/>
        <w:rPr>
          <w:color w:val="000000" w:themeColor="text1"/>
          <w:szCs w:val="24"/>
        </w:rPr>
      </w:pPr>
      <w:r w:rsidRPr="00A52D37">
        <w:rPr>
          <w:color w:val="000000" w:themeColor="text1"/>
          <w:szCs w:val="24"/>
        </w:rPr>
        <w:t xml:space="preserve">Leeds will ensure that excellent people management is championed throughout the organisation and embedded in institutional culture, through annual appraisals, transparent promotion criteria, and workload allocation (EI5). </w:t>
      </w:r>
    </w:p>
    <w:p w14:paraId="270DD18A" w14:textId="32A0C311" w:rsidR="24F8A5F8" w:rsidRPr="00A52D37" w:rsidRDefault="24F8A5F8" w:rsidP="24F8A5F8">
      <w:pPr>
        <w:spacing w:after="0" w:line="300" w:lineRule="auto"/>
        <w:rPr>
          <w:color w:val="000000" w:themeColor="text1"/>
          <w:szCs w:val="24"/>
        </w:rPr>
      </w:pPr>
    </w:p>
    <w:p w14:paraId="1FB429CB" w14:textId="72328AFA" w:rsidR="4D9B3232" w:rsidRDefault="4D9B3232" w:rsidP="24F8A5F8">
      <w:pPr>
        <w:pStyle w:val="Heading2"/>
        <w:shd w:val="clear" w:color="auto" w:fill="153D63" w:themeFill="text2" w:themeFillTint="E6"/>
        <w:rPr>
          <w:b w:val="0"/>
          <w:bCs w:val="0"/>
          <w:color w:val="FFFFFF" w:themeColor="background1"/>
        </w:rPr>
      </w:pPr>
      <w:r w:rsidRPr="24F8A5F8">
        <w:rPr>
          <w:b w:val="0"/>
          <w:bCs w:val="0"/>
          <w:color w:val="FFFFFF" w:themeColor="background1"/>
        </w:rPr>
        <w:t xml:space="preserve"> </w:t>
      </w:r>
      <w:r w:rsidR="464DCCCF" w:rsidRPr="24F8A5F8">
        <w:rPr>
          <w:b w:val="0"/>
          <w:bCs w:val="0"/>
          <w:color w:val="FFFFFF" w:themeColor="background1"/>
        </w:rPr>
        <w:t>Theme 6 — People Management &amp; Leadership</w:t>
      </w:r>
    </w:p>
    <w:p w14:paraId="7B55564F" w14:textId="13A1A363" w:rsidR="464DCCCF" w:rsidRDefault="464DCCCF" w:rsidP="00A52D37">
      <w:pPr>
        <w:spacing w:before="120"/>
      </w:pPr>
      <w:r w:rsidRPr="24F8A5F8">
        <w:t>This theme enhances the capability of managers to lead, support and develop researchers through strong people management and inclusive leadership.</w:t>
      </w:r>
    </w:p>
    <w:p w14:paraId="5C56C500" w14:textId="2E889EBD" w:rsidR="378A8105" w:rsidRDefault="378A8105"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811"/>
        <w:gridCol w:w="4009"/>
        <w:gridCol w:w="1043"/>
        <w:gridCol w:w="1007"/>
      </w:tblGrid>
      <w:tr w:rsidR="24F8A5F8" w14:paraId="79636E21" w14:textId="77777777" w:rsidTr="01A28F3D">
        <w:trPr>
          <w:trHeight w:val="495"/>
        </w:trPr>
        <w:tc>
          <w:tcPr>
            <w:tcW w:w="3811" w:type="dxa"/>
            <w:shd w:val="clear" w:color="auto" w:fill="A5C9EB" w:themeFill="text2" w:themeFillTint="40"/>
            <w:vAlign w:val="center"/>
          </w:tcPr>
          <w:p w14:paraId="3A89C276" w14:textId="0C24131D" w:rsidR="24F8A5F8" w:rsidRDefault="24F8A5F8" w:rsidP="24F8A5F8">
            <w:pPr>
              <w:rPr>
                <w:b/>
                <w:bCs/>
                <w:szCs w:val="24"/>
              </w:rPr>
            </w:pPr>
            <w:r w:rsidRPr="24F8A5F8">
              <w:rPr>
                <w:b/>
                <w:bCs/>
                <w:szCs w:val="24"/>
              </w:rPr>
              <w:t>Action</w:t>
            </w:r>
          </w:p>
        </w:tc>
        <w:tc>
          <w:tcPr>
            <w:tcW w:w="4009" w:type="dxa"/>
            <w:shd w:val="clear" w:color="auto" w:fill="A5C9EB" w:themeFill="text2" w:themeFillTint="40"/>
            <w:vAlign w:val="center"/>
          </w:tcPr>
          <w:p w14:paraId="7F9990E9" w14:textId="576DA5F8" w:rsidR="24F8A5F8" w:rsidRDefault="24F8A5F8" w:rsidP="24F8A5F8">
            <w:pPr>
              <w:rPr>
                <w:b/>
                <w:bCs/>
                <w:szCs w:val="24"/>
              </w:rPr>
            </w:pPr>
            <w:r w:rsidRPr="24F8A5F8">
              <w:rPr>
                <w:b/>
                <w:bCs/>
                <w:szCs w:val="24"/>
              </w:rPr>
              <w:t>Success</w:t>
            </w:r>
          </w:p>
        </w:tc>
        <w:tc>
          <w:tcPr>
            <w:tcW w:w="1043" w:type="dxa"/>
            <w:shd w:val="clear" w:color="auto" w:fill="A5C9EB" w:themeFill="text2" w:themeFillTint="40"/>
            <w:vAlign w:val="center"/>
          </w:tcPr>
          <w:p w14:paraId="525F58D4" w14:textId="714DB183" w:rsidR="24F8A5F8" w:rsidRDefault="24F8A5F8" w:rsidP="24F8A5F8">
            <w:pPr>
              <w:jc w:val="center"/>
              <w:rPr>
                <w:b/>
                <w:bCs/>
                <w:szCs w:val="24"/>
              </w:rPr>
            </w:pPr>
            <w:r w:rsidRPr="24F8A5F8">
              <w:rPr>
                <w:b/>
                <w:bCs/>
                <w:szCs w:val="24"/>
              </w:rPr>
              <w:t>Lead</w:t>
            </w:r>
          </w:p>
        </w:tc>
        <w:tc>
          <w:tcPr>
            <w:tcW w:w="1007" w:type="dxa"/>
            <w:shd w:val="clear" w:color="auto" w:fill="A5C9EB" w:themeFill="text2" w:themeFillTint="40"/>
            <w:vAlign w:val="center"/>
          </w:tcPr>
          <w:p w14:paraId="100F313B" w14:textId="1E21A64B" w:rsidR="24F8A5F8" w:rsidRDefault="24F8A5F8" w:rsidP="24F8A5F8">
            <w:pPr>
              <w:jc w:val="center"/>
              <w:rPr>
                <w:b/>
                <w:bCs/>
                <w:szCs w:val="24"/>
              </w:rPr>
            </w:pPr>
            <w:r w:rsidRPr="24F8A5F8">
              <w:rPr>
                <w:b/>
                <w:bCs/>
                <w:szCs w:val="24"/>
              </w:rPr>
              <w:t>Due</w:t>
            </w:r>
          </w:p>
        </w:tc>
      </w:tr>
      <w:tr w:rsidR="24F8A5F8" w14:paraId="4F07B598" w14:textId="77777777" w:rsidTr="01A28F3D">
        <w:trPr>
          <w:trHeight w:val="825"/>
        </w:trPr>
        <w:tc>
          <w:tcPr>
            <w:tcW w:w="3811" w:type="dxa"/>
          </w:tcPr>
          <w:p w14:paraId="3B9DE288" w14:textId="51E86324" w:rsidR="3023D568" w:rsidRPr="00A52D37" w:rsidRDefault="3023D568" w:rsidP="009D2335">
            <w:pPr>
              <w:spacing w:before="120" w:after="120"/>
              <w:rPr>
                <w:rFonts w:ascii="Aptos" w:hAnsi="Aptos"/>
                <w:szCs w:val="24"/>
              </w:rPr>
            </w:pPr>
            <w:r w:rsidRPr="00A52D37">
              <w:rPr>
                <w:rFonts w:ascii="Aptos" w:hAnsi="Aptos"/>
                <w:szCs w:val="24"/>
              </w:rPr>
              <w:t xml:space="preserve">Undertake a scoping project to determine the development priorities of the managers, how best to engage with them and make recommendations for a new initiative to best support them.  </w:t>
            </w:r>
          </w:p>
          <w:p w14:paraId="6FDD3307" w14:textId="5BE7513B" w:rsidR="24F8A5F8" w:rsidRPr="00A52D37" w:rsidRDefault="24F8A5F8" w:rsidP="009D2335">
            <w:pPr>
              <w:spacing w:before="120" w:after="120"/>
              <w:rPr>
                <w:rFonts w:ascii="Aptos" w:hAnsi="Aptos"/>
                <w:szCs w:val="24"/>
              </w:rPr>
            </w:pPr>
          </w:p>
        </w:tc>
        <w:tc>
          <w:tcPr>
            <w:tcW w:w="4009" w:type="dxa"/>
          </w:tcPr>
          <w:p w14:paraId="453879A7" w14:textId="1BDDCD03" w:rsidR="3023D568" w:rsidRPr="00A52D37" w:rsidRDefault="3023D568" w:rsidP="009D2335">
            <w:pPr>
              <w:spacing w:before="120" w:after="120"/>
              <w:rPr>
                <w:rFonts w:ascii="Aptos" w:eastAsia="Calibri" w:hAnsi="Aptos" w:cs="Calibri"/>
                <w:color w:val="000000" w:themeColor="text1"/>
                <w:szCs w:val="24"/>
              </w:rPr>
            </w:pPr>
            <w:r w:rsidRPr="00A52D37">
              <w:rPr>
                <w:rFonts w:ascii="Aptos" w:hAnsi="Aptos"/>
                <w:szCs w:val="24"/>
              </w:rPr>
              <w:t>Phase1: Initial scoping to include discussion groups, feedback from survey, gap analysis to be concluded by November 2025.</w:t>
            </w:r>
          </w:p>
          <w:p w14:paraId="4906562C" w14:textId="4035D137" w:rsidR="3023D568" w:rsidRPr="00A52D37" w:rsidRDefault="3023D568" w:rsidP="009D2335">
            <w:pPr>
              <w:spacing w:before="120" w:after="120"/>
              <w:rPr>
                <w:rFonts w:ascii="Aptos" w:eastAsia="Calibri" w:hAnsi="Aptos" w:cs="Calibri"/>
                <w:color w:val="000000" w:themeColor="text1"/>
                <w:szCs w:val="24"/>
              </w:rPr>
            </w:pPr>
            <w:r w:rsidRPr="00A52D37">
              <w:rPr>
                <w:rFonts w:ascii="Aptos" w:hAnsi="Aptos"/>
                <w:szCs w:val="24"/>
              </w:rPr>
              <w:t>Phase2: Create task and finish group for recommendations by May 2026</w:t>
            </w:r>
          </w:p>
          <w:p w14:paraId="1215D764" w14:textId="40DC9C4E" w:rsidR="3023D568" w:rsidRPr="00A52D37" w:rsidRDefault="3023D568" w:rsidP="009D2335">
            <w:pPr>
              <w:spacing w:before="120" w:after="120"/>
              <w:rPr>
                <w:rFonts w:ascii="Aptos" w:eastAsia="Calibri" w:hAnsi="Aptos" w:cs="Calibri"/>
                <w:color w:val="000000" w:themeColor="text1"/>
                <w:szCs w:val="24"/>
              </w:rPr>
            </w:pPr>
            <w:r w:rsidRPr="00A52D37">
              <w:rPr>
                <w:rFonts w:ascii="Aptos" w:hAnsi="Aptos"/>
                <w:szCs w:val="24"/>
              </w:rPr>
              <w:t>Phase3: Implementation and pilot from February 2027.</w:t>
            </w:r>
          </w:p>
        </w:tc>
        <w:tc>
          <w:tcPr>
            <w:tcW w:w="1043" w:type="dxa"/>
          </w:tcPr>
          <w:p w14:paraId="10B04081" w14:textId="43363D0B" w:rsidR="3023D568" w:rsidRPr="00A52D37" w:rsidRDefault="3023D568" w:rsidP="009D2335">
            <w:pPr>
              <w:spacing w:before="120" w:after="120"/>
              <w:jc w:val="center"/>
              <w:rPr>
                <w:rFonts w:ascii="Aptos" w:hAnsi="Aptos"/>
                <w:szCs w:val="24"/>
              </w:rPr>
            </w:pPr>
            <w:r w:rsidRPr="00A52D37">
              <w:rPr>
                <w:rFonts w:ascii="Aptos" w:hAnsi="Aptos"/>
                <w:szCs w:val="24"/>
              </w:rPr>
              <w:t>RDRC Team</w:t>
            </w:r>
          </w:p>
        </w:tc>
        <w:tc>
          <w:tcPr>
            <w:tcW w:w="1007" w:type="dxa"/>
          </w:tcPr>
          <w:p w14:paraId="1CD0A62B" w14:textId="3A33D405" w:rsidR="3023D568" w:rsidRPr="00A52D37" w:rsidRDefault="3023D568" w:rsidP="009D2335">
            <w:pPr>
              <w:spacing w:before="120" w:after="120"/>
              <w:jc w:val="center"/>
              <w:rPr>
                <w:rFonts w:ascii="Aptos" w:hAnsi="Aptos"/>
                <w:szCs w:val="24"/>
              </w:rPr>
            </w:pPr>
            <w:r w:rsidRPr="00A52D37">
              <w:rPr>
                <w:rFonts w:ascii="Aptos" w:hAnsi="Aptos"/>
                <w:szCs w:val="24"/>
              </w:rPr>
              <w:t>Feb 2027</w:t>
            </w:r>
          </w:p>
        </w:tc>
      </w:tr>
      <w:tr w:rsidR="24F8A5F8" w14:paraId="5851A019" w14:textId="77777777" w:rsidTr="01A28F3D">
        <w:trPr>
          <w:trHeight w:val="300"/>
        </w:trPr>
        <w:tc>
          <w:tcPr>
            <w:tcW w:w="3811" w:type="dxa"/>
          </w:tcPr>
          <w:p w14:paraId="15F37170" w14:textId="697C7575" w:rsidR="6C0C12F4" w:rsidRPr="00A52D37" w:rsidRDefault="6C0C12F4" w:rsidP="009D2335">
            <w:pPr>
              <w:spacing w:before="120" w:after="120"/>
              <w:rPr>
                <w:rFonts w:ascii="Aptos" w:hAnsi="Aptos"/>
                <w:szCs w:val="24"/>
              </w:rPr>
            </w:pPr>
            <w:r w:rsidRPr="00A52D37">
              <w:rPr>
                <w:rFonts w:ascii="Aptos" w:hAnsi="Aptos"/>
                <w:b/>
                <w:bCs/>
                <w:szCs w:val="24"/>
              </w:rPr>
              <w:t xml:space="preserve">NEW: </w:t>
            </w:r>
            <w:r w:rsidRPr="00A52D37">
              <w:rPr>
                <w:rFonts w:ascii="Aptos" w:hAnsi="Aptos"/>
                <w:szCs w:val="24"/>
              </w:rPr>
              <w:t>Build elements of our management essentials training into PI development programmes</w:t>
            </w:r>
          </w:p>
        </w:tc>
        <w:tc>
          <w:tcPr>
            <w:tcW w:w="4009" w:type="dxa"/>
          </w:tcPr>
          <w:p w14:paraId="62E30C83" w14:textId="6F500978" w:rsidR="6056773E" w:rsidRPr="00A52D37" w:rsidRDefault="6056773E" w:rsidP="009D2335">
            <w:pPr>
              <w:spacing w:before="120" w:after="120"/>
              <w:rPr>
                <w:rFonts w:ascii="Aptos" w:hAnsi="Aptos"/>
                <w:szCs w:val="24"/>
              </w:rPr>
            </w:pPr>
            <w:r w:rsidRPr="00A52D37">
              <w:rPr>
                <w:rFonts w:ascii="Aptos" w:hAnsi="Aptos"/>
                <w:szCs w:val="24"/>
              </w:rPr>
              <w:t xml:space="preserve">Management Essentials content </w:t>
            </w:r>
            <w:proofErr w:type="gramStart"/>
            <w:r w:rsidRPr="00A52D37">
              <w:rPr>
                <w:rFonts w:ascii="Aptos" w:hAnsi="Aptos"/>
                <w:szCs w:val="24"/>
              </w:rPr>
              <w:t>is  integrated</w:t>
            </w:r>
            <w:proofErr w:type="gramEnd"/>
            <w:r w:rsidRPr="00A52D37">
              <w:rPr>
                <w:rFonts w:ascii="Aptos" w:hAnsi="Aptos"/>
                <w:szCs w:val="24"/>
              </w:rPr>
              <w:t xml:space="preserve"> into PI development programmes, with participating PIs demonstrating increased confidence and competency in key people</w:t>
            </w:r>
            <w:r w:rsidRPr="00A52D37">
              <w:rPr>
                <w:rFonts w:ascii="Cambria Math" w:hAnsi="Cambria Math" w:cs="Cambria Math"/>
                <w:szCs w:val="24"/>
              </w:rPr>
              <w:t>‑</w:t>
            </w:r>
            <w:r w:rsidRPr="00A52D37">
              <w:rPr>
                <w:rFonts w:ascii="Aptos" w:hAnsi="Aptos"/>
                <w:szCs w:val="24"/>
              </w:rPr>
              <w:t>management areas, evidenced through programme evaluations and survey responses.</w:t>
            </w:r>
          </w:p>
        </w:tc>
        <w:tc>
          <w:tcPr>
            <w:tcW w:w="1043" w:type="dxa"/>
          </w:tcPr>
          <w:p w14:paraId="45596E16" w14:textId="3F32A1AB" w:rsidR="6056773E" w:rsidRPr="00A52D37" w:rsidRDefault="6056773E" w:rsidP="009D2335">
            <w:pPr>
              <w:spacing w:before="120" w:after="120"/>
              <w:jc w:val="center"/>
              <w:rPr>
                <w:rFonts w:ascii="Aptos" w:hAnsi="Aptos"/>
                <w:szCs w:val="24"/>
              </w:rPr>
            </w:pPr>
            <w:r w:rsidRPr="00A52D37">
              <w:rPr>
                <w:rFonts w:ascii="Aptos" w:hAnsi="Aptos"/>
                <w:szCs w:val="24"/>
              </w:rPr>
              <w:t>ODPL</w:t>
            </w:r>
          </w:p>
        </w:tc>
        <w:tc>
          <w:tcPr>
            <w:tcW w:w="1007" w:type="dxa"/>
          </w:tcPr>
          <w:p w14:paraId="7BC6B243" w14:textId="7E320192" w:rsidR="6056773E" w:rsidRPr="00A52D37" w:rsidRDefault="6056773E" w:rsidP="009D2335">
            <w:pPr>
              <w:spacing w:before="120" w:after="120"/>
              <w:jc w:val="center"/>
              <w:rPr>
                <w:rFonts w:ascii="Aptos" w:hAnsi="Aptos"/>
                <w:szCs w:val="24"/>
              </w:rPr>
            </w:pPr>
            <w:r w:rsidRPr="00A52D37">
              <w:rPr>
                <w:rFonts w:ascii="Aptos" w:hAnsi="Aptos"/>
                <w:szCs w:val="24"/>
              </w:rPr>
              <w:t>March 2027</w:t>
            </w:r>
          </w:p>
        </w:tc>
      </w:tr>
      <w:tr w:rsidR="24F8A5F8" w14:paraId="02794778" w14:textId="77777777" w:rsidTr="01A28F3D">
        <w:trPr>
          <w:trHeight w:val="300"/>
        </w:trPr>
        <w:tc>
          <w:tcPr>
            <w:tcW w:w="3811" w:type="dxa"/>
          </w:tcPr>
          <w:p w14:paraId="1CFCD487" w14:textId="298C1D5A" w:rsidR="24F8A5F8" w:rsidRPr="00A52D37" w:rsidRDefault="49BBA937" w:rsidP="009D2335">
            <w:pPr>
              <w:spacing w:before="120" w:after="120"/>
              <w:rPr>
                <w:rFonts w:ascii="Aptos" w:eastAsia="Aptos" w:hAnsi="Aptos" w:cs="Aptos"/>
                <w:szCs w:val="24"/>
              </w:rPr>
            </w:pPr>
            <w:r w:rsidRPr="00A52D37">
              <w:rPr>
                <w:rStyle w:val="normaltextrun"/>
                <w:rFonts w:ascii="Aptos" w:eastAsia="Calibri" w:hAnsi="Aptos" w:cs="Calibri"/>
                <w:color w:val="000000" w:themeColor="text1"/>
                <w:szCs w:val="24"/>
              </w:rPr>
              <w:t>Develop new cohort-based programmes and self-guided resources for managers to support research culture and research leadership, with an emphasis on career development.</w:t>
            </w:r>
          </w:p>
        </w:tc>
        <w:tc>
          <w:tcPr>
            <w:tcW w:w="4009" w:type="dxa"/>
          </w:tcPr>
          <w:p w14:paraId="731B8795" w14:textId="6DACBA12" w:rsidR="24F8A5F8" w:rsidRPr="00A52D37" w:rsidRDefault="49BBA937" w:rsidP="009D2335">
            <w:pPr>
              <w:spacing w:before="120" w:after="120"/>
              <w:rPr>
                <w:rFonts w:ascii="Aptos" w:eastAsia="Calibri" w:hAnsi="Aptos" w:cs="Calibri"/>
                <w:color w:val="000000" w:themeColor="text1"/>
                <w:szCs w:val="24"/>
              </w:rPr>
            </w:pPr>
            <w:r w:rsidRPr="00A52D37">
              <w:rPr>
                <w:rFonts w:ascii="Aptos" w:eastAsia="Calibri" w:hAnsi="Aptos" w:cs="Calibri"/>
                <w:color w:val="000000" w:themeColor="text1"/>
                <w:szCs w:val="24"/>
              </w:rPr>
              <w:t>Phase 1: Pilot new Mid/Est-Career Researcher programme with 16 participants with a focus on career development and leadership. Feedback that the programme is useful</w:t>
            </w:r>
          </w:p>
          <w:p w14:paraId="79A987D2" w14:textId="16AB66A6" w:rsidR="24F8A5F8" w:rsidRPr="00A52D37" w:rsidRDefault="49BBA937" w:rsidP="009D2335">
            <w:pPr>
              <w:spacing w:before="120" w:after="120"/>
              <w:rPr>
                <w:rFonts w:ascii="Aptos" w:eastAsia="Calibri" w:hAnsi="Aptos" w:cs="Calibri"/>
                <w:color w:val="000000" w:themeColor="text1"/>
                <w:szCs w:val="24"/>
              </w:rPr>
            </w:pPr>
            <w:r w:rsidRPr="00A52D37">
              <w:rPr>
                <w:rFonts w:ascii="Aptos" w:eastAsia="Calibri" w:hAnsi="Aptos" w:cs="Calibri"/>
                <w:color w:val="000000" w:themeColor="text1"/>
                <w:szCs w:val="24"/>
              </w:rPr>
              <w:lastRenderedPageBreak/>
              <w:t>Phase 2: Deliver 2 cohorts incorporating feedback from the pilot</w:t>
            </w:r>
          </w:p>
        </w:tc>
        <w:tc>
          <w:tcPr>
            <w:tcW w:w="1043" w:type="dxa"/>
          </w:tcPr>
          <w:p w14:paraId="0BCF6464" w14:textId="32D0DDDF" w:rsidR="24F8A5F8" w:rsidRPr="00A52D37" w:rsidRDefault="49BBA937" w:rsidP="009D2335">
            <w:pPr>
              <w:spacing w:before="120" w:after="120"/>
              <w:jc w:val="center"/>
              <w:rPr>
                <w:rFonts w:ascii="Aptos" w:hAnsi="Aptos"/>
                <w:szCs w:val="24"/>
              </w:rPr>
            </w:pPr>
            <w:r w:rsidRPr="00A52D37">
              <w:rPr>
                <w:rFonts w:ascii="Aptos" w:eastAsia="Calibri" w:hAnsi="Aptos" w:cs="Calibri"/>
                <w:color w:val="000000" w:themeColor="text1"/>
                <w:szCs w:val="24"/>
              </w:rPr>
              <w:lastRenderedPageBreak/>
              <w:t>RDRC Team</w:t>
            </w:r>
          </w:p>
          <w:p w14:paraId="046C5251" w14:textId="5747113E" w:rsidR="24F8A5F8" w:rsidRPr="00A52D37" w:rsidRDefault="24F8A5F8" w:rsidP="009D2335">
            <w:pPr>
              <w:spacing w:before="120" w:after="120"/>
              <w:jc w:val="center"/>
              <w:rPr>
                <w:rFonts w:ascii="Aptos" w:eastAsia="Calibri" w:hAnsi="Aptos" w:cs="Calibri"/>
                <w:color w:val="000000" w:themeColor="text1"/>
                <w:szCs w:val="24"/>
              </w:rPr>
            </w:pPr>
          </w:p>
          <w:p w14:paraId="2C7E51C0" w14:textId="76F38BEE" w:rsidR="24F8A5F8" w:rsidRPr="00A52D37" w:rsidRDefault="24F8A5F8" w:rsidP="009D2335">
            <w:pPr>
              <w:spacing w:before="120" w:after="120"/>
              <w:jc w:val="center"/>
              <w:rPr>
                <w:rFonts w:ascii="Aptos" w:eastAsia="Calibri" w:hAnsi="Aptos" w:cs="Calibri"/>
                <w:color w:val="000000" w:themeColor="text1"/>
                <w:szCs w:val="24"/>
              </w:rPr>
            </w:pPr>
          </w:p>
        </w:tc>
        <w:tc>
          <w:tcPr>
            <w:tcW w:w="1007" w:type="dxa"/>
          </w:tcPr>
          <w:p w14:paraId="6C0E02B4" w14:textId="76C2E1DC" w:rsidR="24F8A5F8" w:rsidRPr="00A52D37" w:rsidRDefault="49BBA937" w:rsidP="009D2335">
            <w:pPr>
              <w:spacing w:before="120" w:after="120"/>
              <w:jc w:val="center"/>
              <w:rPr>
                <w:rFonts w:ascii="Aptos" w:eastAsia="Calibri" w:hAnsi="Aptos" w:cs="Calibri"/>
                <w:color w:val="000000" w:themeColor="text1"/>
                <w:szCs w:val="24"/>
              </w:rPr>
            </w:pPr>
            <w:r w:rsidRPr="00A52D37">
              <w:rPr>
                <w:rFonts w:ascii="Aptos" w:eastAsia="Calibri" w:hAnsi="Aptos" w:cs="Calibri"/>
                <w:color w:val="000000" w:themeColor="text1"/>
                <w:szCs w:val="24"/>
              </w:rPr>
              <w:t>Nov 2025</w:t>
            </w:r>
          </w:p>
          <w:p w14:paraId="7937D362" w14:textId="5747113E" w:rsidR="24F8A5F8" w:rsidRPr="00A52D37" w:rsidRDefault="24F8A5F8" w:rsidP="009D2335">
            <w:pPr>
              <w:spacing w:before="120" w:after="120"/>
              <w:jc w:val="center"/>
              <w:rPr>
                <w:rFonts w:ascii="Aptos" w:eastAsia="Calibri" w:hAnsi="Aptos" w:cs="Calibri"/>
                <w:color w:val="000000" w:themeColor="text1"/>
                <w:szCs w:val="24"/>
              </w:rPr>
            </w:pPr>
          </w:p>
          <w:p w14:paraId="57B5870F" w14:textId="15B3D5BE" w:rsidR="24F8A5F8" w:rsidRPr="00A52D37" w:rsidRDefault="49BBA937" w:rsidP="009D2335">
            <w:pPr>
              <w:spacing w:before="120" w:after="120"/>
              <w:jc w:val="center"/>
              <w:rPr>
                <w:rFonts w:ascii="Aptos" w:eastAsia="Calibri" w:hAnsi="Aptos" w:cs="Calibri"/>
                <w:color w:val="000000" w:themeColor="text1"/>
                <w:szCs w:val="24"/>
              </w:rPr>
            </w:pPr>
            <w:r w:rsidRPr="00A52D37">
              <w:rPr>
                <w:rFonts w:ascii="Aptos" w:eastAsia="Calibri" w:hAnsi="Aptos" w:cs="Calibri"/>
                <w:color w:val="000000" w:themeColor="text1"/>
                <w:szCs w:val="24"/>
              </w:rPr>
              <w:t>Nov 2026</w:t>
            </w:r>
          </w:p>
          <w:p w14:paraId="35DC90E3" w14:textId="4DEB668A" w:rsidR="24F8A5F8" w:rsidRPr="00A52D37" w:rsidRDefault="24F8A5F8" w:rsidP="009D2335">
            <w:pPr>
              <w:spacing w:before="120" w:after="120"/>
              <w:jc w:val="center"/>
              <w:rPr>
                <w:rFonts w:ascii="Aptos" w:hAnsi="Aptos"/>
                <w:szCs w:val="24"/>
              </w:rPr>
            </w:pPr>
          </w:p>
        </w:tc>
      </w:tr>
    </w:tbl>
    <w:p w14:paraId="7756FB68" w14:textId="6D27D109" w:rsidR="378A8105" w:rsidRDefault="378A8105" w:rsidP="24F8A5F8">
      <w:pPr>
        <w:pStyle w:val="Heading2"/>
        <w:spacing w:after="240"/>
        <w:rPr>
          <w:color w:val="153D63" w:themeColor="text2" w:themeTint="E6"/>
        </w:rPr>
      </w:pPr>
      <w:r w:rsidRPr="24F8A5F8">
        <w:rPr>
          <w:color w:val="153D63" w:themeColor="text2" w:themeTint="E6"/>
        </w:rPr>
        <w:lastRenderedPageBreak/>
        <w:t>Previous actions embedded as ongoing provision:</w:t>
      </w:r>
    </w:p>
    <w:p w14:paraId="518FB1F6" w14:textId="55BDA00E" w:rsidR="24F8A5F8" w:rsidRDefault="003F6729" w:rsidP="003F6729">
      <w:r>
        <w:t>None</w:t>
      </w:r>
    </w:p>
    <w:p w14:paraId="296277DD" w14:textId="5CE051AC" w:rsidR="378A8105" w:rsidRDefault="378A8105" w:rsidP="003F6729">
      <w:pPr>
        <w:pStyle w:val="Heading2"/>
        <w:shd w:val="clear" w:color="auto" w:fill="DAE9F7" w:themeFill="text2" w:themeFillTint="1A"/>
        <w:spacing w:after="240"/>
        <w:rPr>
          <w:color w:val="153D63" w:themeColor="text2" w:themeTint="E6"/>
        </w:rPr>
      </w:pPr>
      <w:r w:rsidRPr="24F8A5F8">
        <w:rPr>
          <w:color w:val="153D63" w:themeColor="text2" w:themeTint="E6"/>
        </w:rPr>
        <w:t>Mapped principles:</w:t>
      </w:r>
    </w:p>
    <w:p w14:paraId="471A1411" w14:textId="4A51F95B"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Leeds will provide effective line and project management training opportunities for managers of researchers, heads of department and equivalent (EI4) and managers will undertake relevant training and development opportunities so that they can manage researchers effectively and fulfil their duty of care (EM1)</w:t>
      </w:r>
    </w:p>
    <w:p w14:paraId="70AA986A" w14:textId="784162F3"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 xml:space="preserve">Managers must engage in leadership and management training to enhance their personal effectiveness, and to promote a positive attitude to professional development (PCDM5) </w:t>
      </w:r>
    </w:p>
    <w:p w14:paraId="44DC4D5E" w14:textId="313BFE56"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 xml:space="preserve">Managers and researchers will actively engage in regular constructive performance management discussions and reviews (EM4 and ER3) </w:t>
      </w:r>
    </w:p>
    <w:p w14:paraId="2C97C66E" w14:textId="16AED03F"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Managers must allocate a minimum of 10 days pro rata, per year, for their researchers to engage with professional development, supporting researchers to balance the delivery of their research and their own professional development (PCDM3)</w:t>
      </w:r>
    </w:p>
    <w:p w14:paraId="70C4DA34" w14:textId="375FA0DD"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 xml:space="preserve">Managers must support researchers in exploring and preparing for a diversity of careers, for example, </w:t>
      </w:r>
      <w:proofErr w:type="gramStart"/>
      <w:r w:rsidRPr="003F6729">
        <w:rPr>
          <w:color w:val="000000" w:themeColor="text1"/>
          <w:szCs w:val="24"/>
        </w:rPr>
        <w:t>through the use of</w:t>
      </w:r>
      <w:proofErr w:type="gramEnd"/>
      <w:r w:rsidRPr="003F6729">
        <w:rPr>
          <w:color w:val="000000" w:themeColor="text1"/>
          <w:szCs w:val="24"/>
        </w:rPr>
        <w:t xml:space="preserve"> mentors and careers professionals, training, and secondments (PCD-M2)</w:t>
      </w:r>
    </w:p>
    <w:p w14:paraId="548DE545" w14:textId="2724D786" w:rsidR="4397E931" w:rsidRDefault="4397E931" w:rsidP="003F6729">
      <w:pPr>
        <w:pStyle w:val="ListParagraph"/>
        <w:numPr>
          <w:ilvl w:val="0"/>
          <w:numId w:val="13"/>
        </w:numPr>
        <w:shd w:val="clear" w:color="auto" w:fill="DAE9F7" w:themeFill="text2" w:themeFillTint="1A"/>
        <w:spacing w:after="0" w:line="300" w:lineRule="auto"/>
        <w:ind w:left="360"/>
        <w:rPr>
          <w:color w:val="000000" w:themeColor="text1"/>
        </w:rPr>
      </w:pPr>
      <w:r w:rsidRPr="003F6729">
        <w:rPr>
          <w:color w:val="000000" w:themeColor="text1"/>
          <w:szCs w:val="24"/>
        </w:rPr>
        <w:t>Managers and Researchers must prepare for and positively engage in regular career development discussions with each other, including holding a career development review at least annually (PCDM1)</w:t>
      </w:r>
    </w:p>
    <w:p w14:paraId="6992D0D9" w14:textId="0C0C2BE8" w:rsidR="24F8A5F8" w:rsidRPr="003F6729" w:rsidRDefault="24F8A5F8" w:rsidP="003F6729">
      <w:pPr>
        <w:spacing w:before="210" w:after="210" w:line="300" w:lineRule="auto"/>
        <w:rPr>
          <w:rFonts w:ascii="Segoe UI" w:eastAsia="Segoe UI" w:hAnsi="Segoe UI" w:cs="Segoe UI"/>
          <w:szCs w:val="24"/>
        </w:rPr>
      </w:pPr>
    </w:p>
    <w:p w14:paraId="665DF5D6" w14:textId="20D2A133" w:rsidR="1ADD0F69" w:rsidRDefault="1ADD0F69" w:rsidP="24F8A5F8">
      <w:pPr>
        <w:pStyle w:val="Heading2"/>
        <w:shd w:val="clear" w:color="auto" w:fill="153D63" w:themeFill="text2" w:themeFillTint="E6"/>
        <w:rPr>
          <w:b w:val="0"/>
          <w:bCs w:val="0"/>
          <w:color w:val="FFFFFF" w:themeColor="background1"/>
        </w:rPr>
      </w:pPr>
      <w:r w:rsidRPr="24F8A5F8">
        <w:rPr>
          <w:b w:val="0"/>
          <w:bCs w:val="0"/>
          <w:color w:val="FFFFFF" w:themeColor="background1"/>
        </w:rPr>
        <w:t xml:space="preserve"> </w:t>
      </w:r>
      <w:r w:rsidR="464DCCCF" w:rsidRPr="24F8A5F8">
        <w:rPr>
          <w:b w:val="0"/>
          <w:bCs w:val="0"/>
          <w:color w:val="FFFFFF" w:themeColor="background1"/>
        </w:rPr>
        <w:t>Theme 7 — Professional &amp; Career Development for Researchers</w:t>
      </w:r>
    </w:p>
    <w:p w14:paraId="6B2D3651" w14:textId="07D366F1" w:rsidR="464DCCCF" w:rsidRDefault="464DCCCF" w:rsidP="00073410">
      <w:pPr>
        <w:spacing w:before="120"/>
      </w:pPr>
      <w:r w:rsidRPr="24F8A5F8">
        <w:t xml:space="preserve">This theme ensures researchers have access to high‑quality development </w:t>
      </w:r>
      <w:proofErr w:type="gramStart"/>
      <w:r w:rsidRPr="24F8A5F8">
        <w:t>opportunities,</w:t>
      </w:r>
      <w:proofErr w:type="gramEnd"/>
      <w:r w:rsidRPr="24F8A5F8">
        <w:t xml:space="preserve"> career guidance and the protected time needed to plan and pursue their professional growth.</w:t>
      </w:r>
    </w:p>
    <w:p w14:paraId="305F792F" w14:textId="2E889EBD" w:rsidR="50D8C4E1" w:rsidRDefault="50D8C4E1"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476"/>
        <w:gridCol w:w="4418"/>
        <w:gridCol w:w="1013"/>
        <w:gridCol w:w="963"/>
      </w:tblGrid>
      <w:tr w:rsidR="24F8A5F8" w14:paraId="6757DBA2" w14:textId="77777777" w:rsidTr="6C3C559F">
        <w:trPr>
          <w:trHeight w:val="495"/>
        </w:trPr>
        <w:tc>
          <w:tcPr>
            <w:tcW w:w="3476" w:type="dxa"/>
            <w:shd w:val="clear" w:color="auto" w:fill="A5C9EB" w:themeFill="text2" w:themeFillTint="40"/>
            <w:vAlign w:val="center"/>
          </w:tcPr>
          <w:p w14:paraId="165BE859" w14:textId="0C24131D" w:rsidR="24F8A5F8" w:rsidRDefault="24F8A5F8" w:rsidP="24F8A5F8">
            <w:pPr>
              <w:rPr>
                <w:b/>
                <w:bCs/>
                <w:szCs w:val="24"/>
              </w:rPr>
            </w:pPr>
            <w:r w:rsidRPr="24F8A5F8">
              <w:rPr>
                <w:b/>
                <w:bCs/>
                <w:szCs w:val="24"/>
              </w:rPr>
              <w:t>Action</w:t>
            </w:r>
          </w:p>
        </w:tc>
        <w:tc>
          <w:tcPr>
            <w:tcW w:w="4418" w:type="dxa"/>
            <w:shd w:val="clear" w:color="auto" w:fill="A5C9EB" w:themeFill="text2" w:themeFillTint="40"/>
            <w:vAlign w:val="center"/>
          </w:tcPr>
          <w:p w14:paraId="6B044AA8" w14:textId="576DA5F8" w:rsidR="24F8A5F8" w:rsidRDefault="24F8A5F8" w:rsidP="24F8A5F8">
            <w:pPr>
              <w:rPr>
                <w:b/>
                <w:bCs/>
                <w:szCs w:val="24"/>
              </w:rPr>
            </w:pPr>
            <w:r w:rsidRPr="24F8A5F8">
              <w:rPr>
                <w:b/>
                <w:bCs/>
                <w:szCs w:val="24"/>
              </w:rPr>
              <w:t>Success</w:t>
            </w:r>
          </w:p>
        </w:tc>
        <w:tc>
          <w:tcPr>
            <w:tcW w:w="1013" w:type="dxa"/>
            <w:shd w:val="clear" w:color="auto" w:fill="A5C9EB" w:themeFill="text2" w:themeFillTint="40"/>
            <w:vAlign w:val="center"/>
          </w:tcPr>
          <w:p w14:paraId="1BB12B85" w14:textId="714DB183" w:rsidR="24F8A5F8" w:rsidRDefault="24F8A5F8" w:rsidP="24F8A5F8">
            <w:pPr>
              <w:jc w:val="center"/>
              <w:rPr>
                <w:b/>
                <w:bCs/>
                <w:szCs w:val="24"/>
              </w:rPr>
            </w:pPr>
            <w:r w:rsidRPr="24F8A5F8">
              <w:rPr>
                <w:b/>
                <w:bCs/>
                <w:szCs w:val="24"/>
              </w:rPr>
              <w:t>Lead</w:t>
            </w:r>
          </w:p>
        </w:tc>
        <w:tc>
          <w:tcPr>
            <w:tcW w:w="963" w:type="dxa"/>
            <w:shd w:val="clear" w:color="auto" w:fill="A5C9EB" w:themeFill="text2" w:themeFillTint="40"/>
            <w:vAlign w:val="center"/>
          </w:tcPr>
          <w:p w14:paraId="1ABF835F" w14:textId="1E21A64B" w:rsidR="24F8A5F8" w:rsidRDefault="24F8A5F8" w:rsidP="24F8A5F8">
            <w:pPr>
              <w:jc w:val="center"/>
              <w:rPr>
                <w:b/>
                <w:bCs/>
                <w:szCs w:val="24"/>
              </w:rPr>
            </w:pPr>
            <w:r w:rsidRPr="24F8A5F8">
              <w:rPr>
                <w:b/>
                <w:bCs/>
                <w:szCs w:val="24"/>
              </w:rPr>
              <w:t>Due</w:t>
            </w:r>
          </w:p>
        </w:tc>
      </w:tr>
      <w:tr w:rsidR="24F8A5F8" w14:paraId="5B5AC8D0" w14:textId="77777777" w:rsidTr="6C3C559F">
        <w:trPr>
          <w:trHeight w:val="780"/>
        </w:trPr>
        <w:tc>
          <w:tcPr>
            <w:tcW w:w="3476" w:type="dxa"/>
          </w:tcPr>
          <w:p w14:paraId="45E662A3" w14:textId="0BD7AA37" w:rsidR="106549D5" w:rsidRPr="0059613F" w:rsidRDefault="106549D5" w:rsidP="0059613F">
            <w:pPr>
              <w:spacing w:before="120" w:after="120"/>
              <w:rPr>
                <w:rFonts w:ascii="Aptos" w:eastAsia="Calibri" w:hAnsi="Aptos" w:cs="Calibri"/>
                <w:color w:val="000000" w:themeColor="text1"/>
                <w:szCs w:val="24"/>
              </w:rPr>
            </w:pPr>
            <w:r w:rsidRPr="0059613F">
              <w:rPr>
                <w:rStyle w:val="normaltextrun"/>
                <w:rFonts w:ascii="Aptos" w:eastAsia="Calibri" w:hAnsi="Aptos" w:cs="Calibri"/>
                <w:color w:val="000000" w:themeColor="text1"/>
                <w:szCs w:val="24"/>
              </w:rPr>
              <w:t>Creation of a policy to support the 10 days development time per year in Research Staff contracts.</w:t>
            </w:r>
            <w:r w:rsidRPr="0059613F">
              <w:rPr>
                <w:rStyle w:val="eop"/>
                <w:rFonts w:ascii="Aptos" w:eastAsia="Calibri" w:hAnsi="Aptos" w:cs="Calibri"/>
                <w:color w:val="000000" w:themeColor="text1"/>
                <w:sz w:val="24"/>
                <w:szCs w:val="24"/>
              </w:rPr>
              <w:t> </w:t>
            </w:r>
          </w:p>
        </w:tc>
        <w:tc>
          <w:tcPr>
            <w:tcW w:w="4418" w:type="dxa"/>
          </w:tcPr>
          <w:p w14:paraId="1E76B4B9" w14:textId="27172172" w:rsidR="106549D5" w:rsidRPr="0059613F" w:rsidRDefault="106549D5" w:rsidP="0059613F">
            <w:pPr>
              <w:spacing w:before="120" w:after="120"/>
              <w:rPr>
                <w:rFonts w:ascii="Aptos" w:eastAsia="Calibri" w:hAnsi="Aptos" w:cs="Calibri"/>
                <w:color w:val="000000" w:themeColor="text1"/>
                <w:szCs w:val="24"/>
              </w:rPr>
            </w:pPr>
            <w:r w:rsidRPr="0059613F">
              <w:rPr>
                <w:rStyle w:val="eop"/>
                <w:rFonts w:ascii="Aptos" w:eastAsia="Calibri" w:hAnsi="Aptos" w:cs="Calibri"/>
                <w:color w:val="000000" w:themeColor="text1"/>
                <w:sz w:val="24"/>
                <w:szCs w:val="24"/>
              </w:rPr>
              <w:t>Creation and launch of the new policy, with communications to raise awareness.</w:t>
            </w:r>
          </w:p>
        </w:tc>
        <w:tc>
          <w:tcPr>
            <w:tcW w:w="1013" w:type="dxa"/>
          </w:tcPr>
          <w:p w14:paraId="4E93BE1A" w14:textId="63A7A314" w:rsidR="24F8A5F8" w:rsidRPr="0059613F" w:rsidRDefault="7CD042A3" w:rsidP="0059613F">
            <w:pPr>
              <w:spacing w:before="120" w:after="120"/>
              <w:jc w:val="center"/>
              <w:rPr>
                <w:rFonts w:ascii="Aptos" w:hAnsi="Aptos"/>
                <w:szCs w:val="24"/>
              </w:rPr>
            </w:pPr>
            <w:r w:rsidRPr="0059613F">
              <w:rPr>
                <w:rFonts w:ascii="Aptos" w:hAnsi="Aptos"/>
                <w:szCs w:val="24"/>
              </w:rPr>
              <w:t>RDRC Team</w:t>
            </w:r>
          </w:p>
          <w:p w14:paraId="3F273FBF" w14:textId="347CB412" w:rsidR="24F8A5F8" w:rsidRPr="0059613F" w:rsidRDefault="7CD042A3" w:rsidP="0059613F">
            <w:pPr>
              <w:spacing w:before="120" w:after="120"/>
              <w:jc w:val="center"/>
              <w:rPr>
                <w:rFonts w:ascii="Aptos" w:hAnsi="Aptos"/>
                <w:szCs w:val="24"/>
              </w:rPr>
            </w:pPr>
            <w:r w:rsidRPr="0059613F">
              <w:rPr>
                <w:rFonts w:ascii="Aptos" w:hAnsi="Aptos"/>
                <w:szCs w:val="24"/>
              </w:rPr>
              <w:t>PCD</w:t>
            </w:r>
          </w:p>
        </w:tc>
        <w:tc>
          <w:tcPr>
            <w:tcW w:w="963" w:type="dxa"/>
          </w:tcPr>
          <w:p w14:paraId="734EB5B5" w14:textId="367DE81F" w:rsidR="24F8A5F8" w:rsidRPr="0059613F" w:rsidRDefault="7CD042A3" w:rsidP="0059613F">
            <w:pPr>
              <w:spacing w:before="120" w:after="120"/>
              <w:jc w:val="center"/>
              <w:rPr>
                <w:rFonts w:ascii="Aptos" w:hAnsi="Aptos"/>
                <w:szCs w:val="24"/>
              </w:rPr>
            </w:pPr>
            <w:r w:rsidRPr="0059613F">
              <w:rPr>
                <w:rFonts w:ascii="Aptos" w:hAnsi="Aptos"/>
                <w:szCs w:val="24"/>
              </w:rPr>
              <w:t>May 2027</w:t>
            </w:r>
          </w:p>
        </w:tc>
      </w:tr>
      <w:tr w:rsidR="24F8A5F8" w14:paraId="5960FAE9" w14:textId="77777777" w:rsidTr="6C3C559F">
        <w:trPr>
          <w:trHeight w:val="300"/>
        </w:trPr>
        <w:tc>
          <w:tcPr>
            <w:tcW w:w="3476" w:type="dxa"/>
          </w:tcPr>
          <w:p w14:paraId="54ACED6B" w14:textId="6ECE2842" w:rsidR="106549D5" w:rsidRPr="0059613F" w:rsidRDefault="106549D5" w:rsidP="0059613F">
            <w:pPr>
              <w:spacing w:before="120" w:after="120"/>
              <w:rPr>
                <w:rFonts w:ascii="Aptos" w:eastAsia="Calibri" w:hAnsi="Aptos" w:cs="Calibri"/>
                <w:color w:val="000000" w:themeColor="text1"/>
                <w:szCs w:val="24"/>
              </w:rPr>
            </w:pPr>
            <w:r w:rsidRPr="0059613F">
              <w:rPr>
                <w:rStyle w:val="normaltextrun"/>
                <w:rFonts w:ascii="Aptos" w:eastAsia="Calibri" w:hAnsi="Aptos" w:cs="Calibri"/>
                <w:color w:val="000000" w:themeColor="text1"/>
                <w:szCs w:val="24"/>
              </w:rPr>
              <w:lastRenderedPageBreak/>
              <w:t>Create a range of case study examples showing effective use of the 10 days for development</w:t>
            </w:r>
          </w:p>
        </w:tc>
        <w:tc>
          <w:tcPr>
            <w:tcW w:w="4418" w:type="dxa"/>
          </w:tcPr>
          <w:p w14:paraId="1807D465" w14:textId="2E493A70" w:rsidR="106549D5" w:rsidRPr="0059613F" w:rsidRDefault="106549D5" w:rsidP="0059613F">
            <w:pPr>
              <w:spacing w:before="120" w:after="120"/>
              <w:rPr>
                <w:rFonts w:ascii="Aptos" w:eastAsia="Calibri" w:hAnsi="Aptos" w:cs="Calibri"/>
                <w:color w:val="000000" w:themeColor="text1"/>
                <w:szCs w:val="24"/>
              </w:rPr>
            </w:pPr>
            <w:r w:rsidRPr="0059613F">
              <w:rPr>
                <w:rFonts w:ascii="Aptos" w:eastAsia="Calibri" w:hAnsi="Aptos" w:cs="Calibri"/>
                <w:color w:val="000000" w:themeColor="text1"/>
                <w:szCs w:val="24"/>
              </w:rPr>
              <w:t>Publication on our researcher support website (</w:t>
            </w:r>
            <w:hyperlink r:id="rId10">
              <w:r w:rsidRPr="0059613F">
                <w:rPr>
                  <w:rStyle w:val="Hyperlink"/>
                  <w:rFonts w:ascii="Aptos" w:eastAsia="Calibri" w:hAnsi="Aptos" w:cs="Calibri"/>
                  <w:szCs w:val="24"/>
                </w:rPr>
                <w:t>https://researchersupport.leeds.ac.uk/</w:t>
              </w:r>
            </w:hyperlink>
            <w:r w:rsidRPr="0059613F">
              <w:rPr>
                <w:rFonts w:ascii="Aptos" w:eastAsia="Calibri" w:hAnsi="Aptos" w:cs="Calibri"/>
                <w:color w:val="000000" w:themeColor="text1"/>
                <w:szCs w:val="24"/>
              </w:rPr>
              <w:t>) with communication and dissemination to ensure wide awareness and understanding.  Monitor access analytics and evaluate feedback to ensure it meets user needs.</w:t>
            </w:r>
          </w:p>
        </w:tc>
        <w:tc>
          <w:tcPr>
            <w:tcW w:w="1013" w:type="dxa"/>
          </w:tcPr>
          <w:p w14:paraId="64198792" w14:textId="67110F61" w:rsidR="24F8A5F8" w:rsidRPr="0059613F" w:rsidRDefault="0032A2DA" w:rsidP="0059613F">
            <w:pPr>
              <w:spacing w:before="120" w:after="120"/>
              <w:jc w:val="center"/>
              <w:rPr>
                <w:rFonts w:ascii="Aptos" w:hAnsi="Aptos"/>
                <w:szCs w:val="24"/>
              </w:rPr>
            </w:pPr>
            <w:r w:rsidRPr="0059613F">
              <w:rPr>
                <w:rFonts w:ascii="Aptos" w:hAnsi="Aptos"/>
                <w:szCs w:val="24"/>
              </w:rPr>
              <w:t>RDRC Team</w:t>
            </w:r>
          </w:p>
        </w:tc>
        <w:tc>
          <w:tcPr>
            <w:tcW w:w="963" w:type="dxa"/>
          </w:tcPr>
          <w:p w14:paraId="5A04C22B" w14:textId="64909A81" w:rsidR="24F8A5F8" w:rsidRPr="0059613F" w:rsidRDefault="0032A2DA" w:rsidP="0059613F">
            <w:pPr>
              <w:spacing w:before="120" w:after="120"/>
              <w:jc w:val="center"/>
              <w:rPr>
                <w:rFonts w:ascii="Aptos" w:hAnsi="Aptos"/>
                <w:szCs w:val="24"/>
              </w:rPr>
            </w:pPr>
            <w:r w:rsidRPr="0059613F">
              <w:rPr>
                <w:rFonts w:ascii="Aptos" w:hAnsi="Aptos"/>
                <w:szCs w:val="24"/>
              </w:rPr>
              <w:t>Sept 2026</w:t>
            </w:r>
          </w:p>
        </w:tc>
      </w:tr>
      <w:tr w:rsidR="24F8A5F8" w14:paraId="6CFD5A31" w14:textId="77777777" w:rsidTr="6C3C559F">
        <w:trPr>
          <w:trHeight w:val="300"/>
        </w:trPr>
        <w:tc>
          <w:tcPr>
            <w:tcW w:w="3476" w:type="dxa"/>
          </w:tcPr>
          <w:p w14:paraId="7FD99CE8" w14:textId="7F7DB579" w:rsidR="106549D5" w:rsidRPr="0059613F" w:rsidRDefault="106549D5" w:rsidP="0059613F">
            <w:pPr>
              <w:spacing w:before="120" w:after="120"/>
              <w:rPr>
                <w:rFonts w:ascii="Aptos" w:eastAsia="Calibri" w:hAnsi="Aptos" w:cs="Calibri"/>
                <w:color w:val="000000" w:themeColor="text1"/>
                <w:szCs w:val="24"/>
              </w:rPr>
            </w:pPr>
            <w:r w:rsidRPr="0059613F">
              <w:rPr>
                <w:rStyle w:val="normaltextrun"/>
                <w:rFonts w:ascii="Aptos" w:eastAsia="Calibri" w:hAnsi="Aptos" w:cs="Calibri"/>
                <w:color w:val="000000" w:themeColor="text1"/>
                <w:szCs w:val="24"/>
              </w:rPr>
              <w:t>Transform our successful 'Career Architect' cohort programme into a more accessible blended learning format and offer elements of it more widely covering all careers research</w:t>
            </w:r>
            <w:r w:rsidRPr="0059613F">
              <w:rPr>
                <w:rStyle w:val="eop"/>
                <w:rFonts w:ascii="Aptos" w:eastAsia="Calibri" w:hAnsi="Aptos" w:cs="Calibri"/>
                <w:color w:val="000000" w:themeColor="text1"/>
                <w:sz w:val="24"/>
                <w:szCs w:val="24"/>
              </w:rPr>
              <w:t> </w:t>
            </w:r>
          </w:p>
        </w:tc>
        <w:tc>
          <w:tcPr>
            <w:tcW w:w="4418" w:type="dxa"/>
          </w:tcPr>
          <w:p w14:paraId="63B1674E" w14:textId="7DA0775D" w:rsidR="106549D5" w:rsidRPr="0059613F" w:rsidRDefault="106549D5" w:rsidP="0059613F">
            <w:pPr>
              <w:spacing w:before="120" w:after="120"/>
              <w:rPr>
                <w:rFonts w:ascii="Aptos" w:eastAsia="Calibri" w:hAnsi="Aptos" w:cs="Calibri"/>
                <w:color w:val="000000" w:themeColor="text1"/>
                <w:szCs w:val="24"/>
              </w:rPr>
            </w:pPr>
            <w:r w:rsidRPr="0059613F">
              <w:rPr>
                <w:rStyle w:val="eop"/>
                <w:rFonts w:ascii="Aptos" w:eastAsia="Calibri" w:hAnsi="Aptos" w:cs="Calibri"/>
                <w:color w:val="000000" w:themeColor="text1"/>
                <w:sz w:val="24"/>
                <w:szCs w:val="24"/>
              </w:rPr>
              <w:t>Deliver</w:t>
            </w:r>
            <w:r w:rsidRPr="0059613F">
              <w:rPr>
                <w:rFonts w:ascii="Aptos" w:eastAsia="Calibri" w:hAnsi="Aptos" w:cs="Calibri"/>
                <w:color w:val="000000" w:themeColor="text1"/>
                <w:szCs w:val="24"/>
              </w:rPr>
              <w:t xml:space="preserve"> </w:t>
            </w:r>
            <w:r w:rsidRPr="0059613F">
              <w:rPr>
                <w:rStyle w:val="eop"/>
                <w:rFonts w:ascii="Aptos" w:eastAsia="Calibri" w:hAnsi="Aptos" w:cs="Calibri"/>
                <w:color w:val="000000" w:themeColor="text1"/>
                <w:sz w:val="24"/>
                <w:szCs w:val="24"/>
              </w:rPr>
              <w:t>1-2</w:t>
            </w:r>
            <w:r w:rsidRPr="0059613F">
              <w:rPr>
                <w:rFonts w:ascii="Aptos" w:eastAsia="Calibri" w:hAnsi="Aptos" w:cs="Calibri"/>
                <w:color w:val="000000" w:themeColor="text1"/>
                <w:szCs w:val="24"/>
              </w:rPr>
              <w:t xml:space="preserve"> </w:t>
            </w:r>
            <w:r w:rsidRPr="0059613F">
              <w:rPr>
                <w:rStyle w:val="eop"/>
                <w:rFonts w:ascii="Aptos" w:eastAsia="Calibri" w:hAnsi="Aptos" w:cs="Calibri"/>
                <w:color w:val="000000" w:themeColor="text1"/>
                <w:sz w:val="24"/>
                <w:szCs w:val="24"/>
              </w:rPr>
              <w:t>cohorts per year with up to 16 participants per cohort</w:t>
            </w:r>
            <w:r w:rsidRPr="0059613F">
              <w:rPr>
                <w:rFonts w:ascii="Aptos" w:eastAsia="Calibri" w:hAnsi="Aptos" w:cs="Calibri"/>
                <w:color w:val="000000" w:themeColor="text1"/>
                <w:szCs w:val="24"/>
              </w:rPr>
              <w:t xml:space="preserve"> </w:t>
            </w:r>
            <w:r w:rsidRPr="0059613F">
              <w:rPr>
                <w:rStyle w:val="eop"/>
                <w:rFonts w:ascii="Aptos" w:eastAsia="Calibri" w:hAnsi="Aptos" w:cs="Calibri"/>
                <w:color w:val="000000" w:themeColor="text1"/>
                <w:sz w:val="24"/>
                <w:szCs w:val="24"/>
              </w:rPr>
              <w:t>with 50% of participants securing their next role within 6 months of the programme ending.</w:t>
            </w:r>
            <w:r w:rsidRPr="0059613F">
              <w:rPr>
                <w:rFonts w:ascii="Aptos" w:eastAsia="Calibri" w:hAnsi="Aptos" w:cs="Calibri"/>
                <w:color w:val="000000" w:themeColor="text1"/>
                <w:szCs w:val="24"/>
              </w:rPr>
              <w:t xml:space="preserve"> </w:t>
            </w:r>
            <w:r w:rsidRPr="0059613F">
              <w:rPr>
                <w:rStyle w:val="eop"/>
                <w:rFonts w:ascii="Aptos" w:eastAsia="Calibri" w:hAnsi="Aptos" w:cs="Calibri"/>
                <w:color w:val="000000" w:themeColor="text1"/>
                <w:sz w:val="24"/>
                <w:szCs w:val="24"/>
              </w:rPr>
              <w:t>Trial a hybrid format with positive feedback from researchers</w:t>
            </w:r>
          </w:p>
        </w:tc>
        <w:tc>
          <w:tcPr>
            <w:tcW w:w="1013" w:type="dxa"/>
          </w:tcPr>
          <w:p w14:paraId="6FA30C05" w14:textId="151B05A0" w:rsidR="24F8A5F8" w:rsidRPr="0059613F" w:rsidRDefault="729EFEC2" w:rsidP="0059613F">
            <w:pPr>
              <w:spacing w:before="120" w:after="120"/>
              <w:jc w:val="center"/>
              <w:rPr>
                <w:rFonts w:ascii="Aptos" w:hAnsi="Aptos"/>
                <w:szCs w:val="24"/>
              </w:rPr>
            </w:pPr>
            <w:r w:rsidRPr="0059613F">
              <w:rPr>
                <w:rFonts w:ascii="Aptos" w:hAnsi="Aptos"/>
                <w:szCs w:val="24"/>
              </w:rPr>
              <w:t>RDRC Team</w:t>
            </w:r>
          </w:p>
        </w:tc>
        <w:tc>
          <w:tcPr>
            <w:tcW w:w="963" w:type="dxa"/>
          </w:tcPr>
          <w:p w14:paraId="0E02DFC2" w14:textId="5B0D2186" w:rsidR="24F8A5F8" w:rsidRPr="0059613F" w:rsidRDefault="729EFEC2" w:rsidP="0059613F">
            <w:pPr>
              <w:spacing w:before="120" w:after="120"/>
              <w:jc w:val="center"/>
              <w:rPr>
                <w:rFonts w:ascii="Aptos" w:hAnsi="Aptos"/>
                <w:szCs w:val="24"/>
              </w:rPr>
            </w:pPr>
            <w:r w:rsidRPr="0059613F">
              <w:rPr>
                <w:rFonts w:ascii="Aptos" w:hAnsi="Aptos"/>
                <w:szCs w:val="24"/>
              </w:rPr>
              <w:t>Oct 2026</w:t>
            </w:r>
          </w:p>
        </w:tc>
      </w:tr>
      <w:tr w:rsidR="6C3C559F" w14:paraId="6D47D0D1" w14:textId="77777777" w:rsidTr="6C3C559F">
        <w:trPr>
          <w:trHeight w:val="300"/>
        </w:trPr>
        <w:tc>
          <w:tcPr>
            <w:tcW w:w="3476" w:type="dxa"/>
          </w:tcPr>
          <w:p w14:paraId="3498C0C7" w14:textId="6DA62B06" w:rsidR="6C3C559F" w:rsidRDefault="6C3C559F" w:rsidP="6C3C559F">
            <w:pPr>
              <w:spacing w:before="120" w:after="120"/>
              <w:rPr>
                <w:rFonts w:ascii="Aptos" w:eastAsia="Aptos" w:hAnsi="Aptos" w:cs="Aptos"/>
                <w:color w:val="000000" w:themeColor="text1"/>
                <w:szCs w:val="24"/>
              </w:rPr>
            </w:pPr>
            <w:r w:rsidRPr="6C3C559F">
              <w:rPr>
                <w:rFonts w:ascii="Aptos" w:eastAsia="Aptos" w:hAnsi="Aptos" w:cs="Aptos"/>
                <w:color w:val="000000" w:themeColor="text1"/>
                <w:szCs w:val="24"/>
              </w:rPr>
              <w:t>Deliver our Research Staff leadership development cohort-based programme </w:t>
            </w:r>
          </w:p>
        </w:tc>
        <w:tc>
          <w:tcPr>
            <w:tcW w:w="4418" w:type="dxa"/>
          </w:tcPr>
          <w:p w14:paraId="05E54346" w14:textId="5A17F226" w:rsidR="6C3C559F" w:rsidRDefault="6C3C559F" w:rsidP="6C3C559F">
            <w:pPr>
              <w:spacing w:before="120" w:after="120"/>
              <w:rPr>
                <w:rFonts w:ascii="Aptos" w:eastAsia="Aptos" w:hAnsi="Aptos" w:cs="Aptos"/>
                <w:color w:val="000000" w:themeColor="text1"/>
                <w:szCs w:val="24"/>
              </w:rPr>
            </w:pPr>
            <w:r w:rsidRPr="6C3C559F">
              <w:rPr>
                <w:rStyle w:val="normaltextrun"/>
                <w:rFonts w:ascii="Aptos" w:eastAsia="Aptos" w:hAnsi="Aptos" w:cs="Aptos"/>
                <w:color w:val="000000" w:themeColor="text1"/>
                <w:szCs w:val="24"/>
              </w:rPr>
              <w:t>Deliver 1-2 cohorts per year with up to 25 participants. Evaluation from survey data and focus groups to show the development meets their needs. </w:t>
            </w:r>
          </w:p>
        </w:tc>
        <w:tc>
          <w:tcPr>
            <w:tcW w:w="1013" w:type="dxa"/>
          </w:tcPr>
          <w:p w14:paraId="63804D81" w14:textId="13B5BC86" w:rsidR="6C3C559F" w:rsidRDefault="6C3C559F" w:rsidP="6C3C559F">
            <w:pPr>
              <w:spacing w:before="120" w:after="120"/>
              <w:jc w:val="center"/>
              <w:rPr>
                <w:rFonts w:ascii="Aptos" w:eastAsia="Aptos" w:hAnsi="Aptos" w:cs="Aptos"/>
                <w:color w:val="000000" w:themeColor="text1"/>
                <w:szCs w:val="24"/>
              </w:rPr>
            </w:pPr>
            <w:r w:rsidRPr="6C3C559F">
              <w:rPr>
                <w:rFonts w:ascii="Aptos" w:eastAsia="Aptos" w:hAnsi="Aptos" w:cs="Aptos"/>
                <w:color w:val="000000" w:themeColor="text1"/>
                <w:szCs w:val="24"/>
              </w:rPr>
              <w:t>RDRC Team</w:t>
            </w:r>
          </w:p>
          <w:p w14:paraId="42296DA7" w14:textId="2CB7F008" w:rsidR="6C3C559F" w:rsidRDefault="6C3C559F" w:rsidP="6C3C559F">
            <w:pPr>
              <w:spacing w:before="120" w:after="120"/>
              <w:jc w:val="center"/>
              <w:rPr>
                <w:rFonts w:ascii="Aptos" w:eastAsia="Aptos" w:hAnsi="Aptos" w:cs="Aptos"/>
                <w:color w:val="000000" w:themeColor="text1"/>
                <w:szCs w:val="24"/>
              </w:rPr>
            </w:pPr>
          </w:p>
        </w:tc>
        <w:tc>
          <w:tcPr>
            <w:tcW w:w="963" w:type="dxa"/>
          </w:tcPr>
          <w:p w14:paraId="0C419745" w14:textId="2582A9EE" w:rsidR="6C3C559F" w:rsidRDefault="6C3C559F" w:rsidP="6C3C559F">
            <w:pPr>
              <w:spacing w:before="120" w:after="120"/>
              <w:jc w:val="center"/>
              <w:rPr>
                <w:rFonts w:ascii="Aptos" w:eastAsia="Aptos" w:hAnsi="Aptos" w:cs="Aptos"/>
                <w:color w:val="000000" w:themeColor="text1"/>
                <w:szCs w:val="24"/>
              </w:rPr>
            </w:pPr>
            <w:r w:rsidRPr="6C3C559F">
              <w:rPr>
                <w:rFonts w:ascii="Aptos" w:eastAsia="Aptos" w:hAnsi="Aptos" w:cs="Aptos"/>
                <w:color w:val="000000" w:themeColor="text1"/>
                <w:szCs w:val="24"/>
              </w:rPr>
              <w:t>April 2027</w:t>
            </w:r>
          </w:p>
        </w:tc>
      </w:tr>
    </w:tbl>
    <w:p w14:paraId="0CA2A0E2" w14:textId="6D27D109" w:rsidR="50D8C4E1" w:rsidRDefault="50D8C4E1" w:rsidP="24F8A5F8">
      <w:pPr>
        <w:pStyle w:val="Heading2"/>
        <w:spacing w:after="240"/>
        <w:rPr>
          <w:color w:val="153D63" w:themeColor="text2" w:themeTint="E6"/>
        </w:rPr>
      </w:pPr>
      <w:r w:rsidRPr="106549D5">
        <w:rPr>
          <w:color w:val="0E2740"/>
        </w:rPr>
        <w:t>Previous actions embedded as ongoing provision:</w:t>
      </w:r>
    </w:p>
    <w:p w14:paraId="57A8A9B0" w14:textId="28B15476" w:rsidR="528A3C79" w:rsidRPr="00A42BBA" w:rsidRDefault="528A3C79" w:rsidP="106549D5">
      <w:pPr>
        <w:pStyle w:val="ListParagraph"/>
        <w:numPr>
          <w:ilvl w:val="0"/>
          <w:numId w:val="5"/>
        </w:numPr>
        <w:rPr>
          <w:rFonts w:ascii="Aptos" w:hAnsi="Aptos"/>
          <w:szCs w:val="24"/>
        </w:rPr>
      </w:pPr>
      <w:r w:rsidRPr="00A42BBA">
        <w:rPr>
          <w:rStyle w:val="normaltextrun"/>
          <w:rFonts w:ascii="Aptos" w:eastAsia="Calibri" w:hAnsi="Aptos" w:cs="Calibri"/>
          <w:color w:val="000000" w:themeColor="text1"/>
          <w:szCs w:val="24"/>
        </w:rPr>
        <w:t>Ongoing career development from the researcher development team in OD&amp;PL, to ensure that researchers maintain the currency of their skills and are also well equipped for future career progression.</w:t>
      </w:r>
      <w:r w:rsidRPr="00A42BBA">
        <w:rPr>
          <w:rStyle w:val="eop"/>
          <w:rFonts w:ascii="Aptos" w:eastAsia="Calibri" w:hAnsi="Aptos" w:cs="Calibri"/>
          <w:color w:val="000000" w:themeColor="text1"/>
          <w:sz w:val="24"/>
          <w:szCs w:val="24"/>
        </w:rPr>
        <w:t> </w:t>
      </w:r>
    </w:p>
    <w:p w14:paraId="46B632E8" w14:textId="636889FA" w:rsidR="02DD23F6" w:rsidRPr="00A42BBA" w:rsidRDefault="02DD23F6" w:rsidP="106549D5">
      <w:pPr>
        <w:pStyle w:val="ListParagraph"/>
        <w:numPr>
          <w:ilvl w:val="0"/>
          <w:numId w:val="5"/>
        </w:numPr>
        <w:rPr>
          <w:rFonts w:ascii="Aptos" w:hAnsi="Aptos"/>
          <w:szCs w:val="24"/>
        </w:rPr>
      </w:pPr>
      <w:r w:rsidRPr="00A42BBA">
        <w:rPr>
          <w:rStyle w:val="normaltextrun"/>
          <w:rFonts w:ascii="Aptos" w:eastAsia="Calibri" w:hAnsi="Aptos" w:cs="Calibri"/>
          <w:color w:val="000000" w:themeColor="text1"/>
          <w:szCs w:val="24"/>
        </w:rPr>
        <w:t>Host 2 roundtables a year with researchers and research leaders to discuss career development topics and create a dialogue about researcher careers, thereby normalising career conversations in academia.</w:t>
      </w:r>
      <w:r w:rsidRPr="00A42BBA">
        <w:rPr>
          <w:rStyle w:val="eop"/>
          <w:rFonts w:ascii="Aptos" w:eastAsia="Calibri" w:hAnsi="Aptos" w:cs="Calibri"/>
          <w:color w:val="000000" w:themeColor="text1"/>
          <w:sz w:val="24"/>
          <w:szCs w:val="24"/>
        </w:rPr>
        <w:t> </w:t>
      </w:r>
    </w:p>
    <w:p w14:paraId="2736CE85" w14:textId="6CF609CA" w:rsidR="2A87E7A0" w:rsidRPr="00A42BBA" w:rsidRDefault="2A87E7A0" w:rsidP="106549D5">
      <w:pPr>
        <w:pStyle w:val="ListParagraph"/>
        <w:numPr>
          <w:ilvl w:val="0"/>
          <w:numId w:val="5"/>
        </w:numPr>
        <w:rPr>
          <w:rFonts w:ascii="Aptos" w:hAnsi="Aptos"/>
          <w:szCs w:val="24"/>
        </w:rPr>
      </w:pPr>
      <w:r w:rsidRPr="00A42BBA">
        <w:rPr>
          <w:rStyle w:val="normaltextrun"/>
          <w:rFonts w:ascii="Aptos" w:eastAsia="Calibri" w:hAnsi="Aptos" w:cs="Calibri"/>
          <w:color w:val="000000" w:themeColor="text1"/>
          <w:szCs w:val="24"/>
        </w:rPr>
        <w:t>Deliver an annual report for Research and Innovation Board, Concordat governance reporting.</w:t>
      </w:r>
    </w:p>
    <w:p w14:paraId="546135F3" w14:textId="22001E33" w:rsidR="120ADB42" w:rsidRPr="00A42BBA" w:rsidRDefault="120ADB42" w:rsidP="106549D5">
      <w:pPr>
        <w:pStyle w:val="ListParagraph"/>
        <w:numPr>
          <w:ilvl w:val="0"/>
          <w:numId w:val="5"/>
        </w:numPr>
        <w:rPr>
          <w:rFonts w:ascii="Aptos" w:hAnsi="Aptos"/>
          <w:szCs w:val="24"/>
        </w:rPr>
      </w:pPr>
      <w:r w:rsidRPr="00A42BBA">
        <w:rPr>
          <w:rStyle w:val="normaltextrun"/>
          <w:rFonts w:ascii="Aptos" w:eastAsia="Calibri" w:hAnsi="Aptos" w:cs="Calibri"/>
          <w:color w:val="000000" w:themeColor="text1"/>
          <w:szCs w:val="24"/>
        </w:rPr>
        <w:t>Promote the PROSPER platform to managers of researchers as a platform for resources and support for themselves and their research teams</w:t>
      </w:r>
      <w:r w:rsidR="00A42BBA">
        <w:rPr>
          <w:rStyle w:val="normaltextrun"/>
          <w:rFonts w:ascii="Aptos" w:eastAsia="Calibri" w:hAnsi="Aptos" w:cs="Calibri"/>
          <w:color w:val="000000" w:themeColor="text1"/>
          <w:szCs w:val="24"/>
        </w:rPr>
        <w:t>.</w:t>
      </w:r>
    </w:p>
    <w:p w14:paraId="6C30E013" w14:textId="79222724" w:rsidR="370FDF92" w:rsidRPr="00A42BBA" w:rsidRDefault="370FDF92" w:rsidP="106549D5">
      <w:pPr>
        <w:pStyle w:val="ListParagraph"/>
        <w:numPr>
          <w:ilvl w:val="0"/>
          <w:numId w:val="5"/>
        </w:numPr>
        <w:rPr>
          <w:rStyle w:val="normaltextrun"/>
          <w:rFonts w:ascii="Aptos" w:eastAsia="Calibri" w:hAnsi="Aptos" w:cs="Calibri"/>
          <w:color w:val="000000" w:themeColor="text1"/>
          <w:szCs w:val="24"/>
        </w:rPr>
      </w:pPr>
      <w:r w:rsidRPr="00A42BBA">
        <w:rPr>
          <w:rStyle w:val="normaltextrun"/>
          <w:rFonts w:ascii="Aptos" w:eastAsia="Calibri" w:hAnsi="Aptos" w:cs="Calibri"/>
          <w:color w:val="000000" w:themeColor="text1"/>
          <w:szCs w:val="24"/>
        </w:rPr>
        <w:t>Deliver our ‘Career Accelerator’ programme</w:t>
      </w:r>
      <w:r w:rsidR="00A42BBA">
        <w:rPr>
          <w:rStyle w:val="normaltextrun"/>
          <w:rFonts w:ascii="Aptos" w:eastAsia="Calibri" w:hAnsi="Aptos" w:cs="Calibri"/>
          <w:color w:val="000000" w:themeColor="text1"/>
          <w:szCs w:val="24"/>
        </w:rPr>
        <w:t>.</w:t>
      </w:r>
      <w:r w:rsidRPr="00A42BBA">
        <w:rPr>
          <w:rStyle w:val="normaltextrun"/>
          <w:rFonts w:ascii="Aptos" w:eastAsia="Calibri" w:hAnsi="Aptos" w:cs="Calibri"/>
          <w:color w:val="000000" w:themeColor="text1"/>
          <w:szCs w:val="24"/>
        </w:rPr>
        <w:t xml:space="preserve"> </w:t>
      </w:r>
    </w:p>
    <w:p w14:paraId="60DFBA54" w14:textId="04B0C456" w:rsidR="370FDF92" w:rsidRPr="00A42BBA" w:rsidRDefault="370FDF92" w:rsidP="5CB0DF6C">
      <w:pPr>
        <w:pStyle w:val="ListParagraph"/>
        <w:numPr>
          <w:ilvl w:val="0"/>
          <w:numId w:val="5"/>
        </w:numPr>
        <w:rPr>
          <w:rFonts w:ascii="Aptos" w:hAnsi="Aptos"/>
        </w:rPr>
      </w:pPr>
      <w:r w:rsidRPr="01A28F3D">
        <w:rPr>
          <w:rFonts w:ascii="Aptos" w:hAnsi="Aptos"/>
        </w:rPr>
        <w:t>Deliver our Career Catalyst programme across our researcher community, retaining the hybrid learning offe</w:t>
      </w:r>
      <w:r w:rsidRPr="01A28F3D">
        <w:rPr>
          <w:szCs w:val="24"/>
        </w:rPr>
        <w:t>r (</w:t>
      </w:r>
      <w:r w:rsidR="64B01988" w:rsidRPr="01A28F3D">
        <w:rPr>
          <w:color w:val="242424"/>
          <w:szCs w:val="24"/>
        </w:rPr>
        <w:t xml:space="preserve">self-guided plus continuous expert guidance </w:t>
      </w:r>
      <w:r w:rsidRPr="01A28F3D">
        <w:rPr>
          <w:szCs w:val="24"/>
        </w:rPr>
        <w:t>and optio</w:t>
      </w:r>
      <w:r w:rsidRPr="01A28F3D">
        <w:rPr>
          <w:rFonts w:ascii="Aptos" w:hAnsi="Aptos"/>
        </w:rPr>
        <w:t xml:space="preserve">nal peer-to-peer interaction).  </w:t>
      </w:r>
    </w:p>
    <w:p w14:paraId="22E43FC8" w14:textId="1BB5ACBC" w:rsidR="370FDF92" w:rsidRPr="00A42BBA" w:rsidRDefault="370FDF92" w:rsidP="106549D5">
      <w:pPr>
        <w:pStyle w:val="ListParagraph"/>
        <w:numPr>
          <w:ilvl w:val="0"/>
          <w:numId w:val="5"/>
        </w:numPr>
        <w:rPr>
          <w:rFonts w:ascii="Aptos" w:hAnsi="Aptos"/>
          <w:szCs w:val="24"/>
        </w:rPr>
      </w:pPr>
      <w:r w:rsidRPr="00A42BBA">
        <w:rPr>
          <w:rFonts w:ascii="Aptos" w:hAnsi="Aptos"/>
          <w:szCs w:val="24"/>
        </w:rPr>
        <w:t>Deliver BOOST programme, a 12 month pick and mix development package to equip researchers with a range of skills and experience.</w:t>
      </w:r>
    </w:p>
    <w:p w14:paraId="14029A9D" w14:textId="248CF232" w:rsidR="370FDF92" w:rsidRPr="00A42BBA" w:rsidRDefault="370FDF92" w:rsidP="106549D5">
      <w:pPr>
        <w:pStyle w:val="ListParagraph"/>
        <w:numPr>
          <w:ilvl w:val="0"/>
          <w:numId w:val="5"/>
        </w:numPr>
        <w:rPr>
          <w:rFonts w:ascii="Aptos" w:hAnsi="Aptos"/>
          <w:szCs w:val="24"/>
        </w:rPr>
      </w:pPr>
      <w:r w:rsidRPr="00A42BBA">
        <w:rPr>
          <w:rStyle w:val="normaltextrun"/>
          <w:rFonts w:ascii="Aptos" w:eastAsia="Calibri" w:hAnsi="Aptos" w:cs="Calibri"/>
          <w:color w:val="000000" w:themeColor="text1"/>
          <w:szCs w:val="24"/>
        </w:rPr>
        <w:t>Deliver a ‘Career Essentials’ as part of the BOOST programme, covering CVs, applications and interviews</w:t>
      </w:r>
      <w:r w:rsidR="00A42BBA">
        <w:rPr>
          <w:rStyle w:val="normaltextrun"/>
          <w:rFonts w:ascii="Aptos" w:eastAsia="Calibri" w:hAnsi="Aptos" w:cs="Calibri"/>
          <w:color w:val="000000" w:themeColor="text1"/>
          <w:szCs w:val="24"/>
        </w:rPr>
        <w:t>.</w:t>
      </w:r>
    </w:p>
    <w:p w14:paraId="58678939" w14:textId="5CE051AC" w:rsidR="50D8C4E1" w:rsidRDefault="50D8C4E1" w:rsidP="00A42BBA">
      <w:pPr>
        <w:pStyle w:val="Heading2"/>
        <w:shd w:val="clear" w:color="auto" w:fill="DAE9F7" w:themeFill="text2" w:themeFillTint="1A"/>
        <w:spacing w:after="240"/>
        <w:rPr>
          <w:color w:val="153D63" w:themeColor="text2" w:themeTint="E6"/>
        </w:rPr>
      </w:pPr>
      <w:r w:rsidRPr="24F8A5F8">
        <w:rPr>
          <w:color w:val="153D63" w:themeColor="text2" w:themeTint="E6"/>
        </w:rPr>
        <w:lastRenderedPageBreak/>
        <w:t>Mapped principles:</w:t>
      </w:r>
    </w:p>
    <w:p w14:paraId="045886A2" w14:textId="378557F2"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00A42BBA">
        <w:rPr>
          <w:color w:val="000000" w:themeColor="text1"/>
          <w:szCs w:val="24"/>
        </w:rPr>
        <w:t xml:space="preserve">Leeds will continue to provide opportunities and structured support for researchers to engage in a minimum of 10 days’ professional development pro rata, per year, whilst recognising that researchers will pursue careers across a wide range of employment sectors (PCDI1)  </w:t>
      </w:r>
    </w:p>
    <w:p w14:paraId="423C2BF5" w14:textId="6055E934"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00A42BBA">
        <w:rPr>
          <w:color w:val="000000" w:themeColor="text1"/>
          <w:szCs w:val="24"/>
        </w:rPr>
        <w:t xml:space="preserve">Researchers must take ownership of their career, be pro-active and identify opportunities to work towards their career goal and engage in a minimum of 10 days’ professional development pro rata, per year (PCDR1) </w:t>
      </w:r>
    </w:p>
    <w:p w14:paraId="40917130" w14:textId="1CB48FA7"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00A42BBA">
        <w:rPr>
          <w:color w:val="000000" w:themeColor="text1"/>
          <w:szCs w:val="24"/>
        </w:rPr>
        <w:t xml:space="preserve">Leeds will provide training, structured support, and time for managers to engage in meaningful career development reviews with their researchers (PCDI2)  </w:t>
      </w:r>
    </w:p>
    <w:p w14:paraId="3E3D4000" w14:textId="3A06ED2A"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6C3C559F">
        <w:rPr>
          <w:color w:val="000000" w:themeColor="text1"/>
        </w:rPr>
        <w:t xml:space="preserve">Leeds will ensure that researchers have access to professional career management support, across a breadth of careers (PCDI3) and enable them to explore and position themselves for all career directions online and in person. (PCDM2) </w:t>
      </w:r>
    </w:p>
    <w:p w14:paraId="43F295C9" w14:textId="436B79DA" w:rsidR="1F2B2ABD" w:rsidRDefault="1F2B2ABD" w:rsidP="6C3C559F">
      <w:pPr>
        <w:pStyle w:val="ListParagraph"/>
        <w:numPr>
          <w:ilvl w:val="0"/>
          <w:numId w:val="12"/>
        </w:numPr>
        <w:shd w:val="clear" w:color="auto" w:fill="DAE9F7" w:themeFill="text2" w:themeFillTint="1A"/>
        <w:spacing w:after="0" w:line="300" w:lineRule="auto"/>
        <w:rPr>
          <w:color w:val="000000" w:themeColor="text1"/>
        </w:rPr>
      </w:pPr>
      <w:r>
        <w:t>Leeds will provide researchers with opportunities, and time, to develop their research identity and broader leadership skills (PCDI4).</w:t>
      </w:r>
    </w:p>
    <w:p w14:paraId="2F529AFF" w14:textId="33458A23"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00A42BBA">
        <w:rPr>
          <w:color w:val="000000" w:themeColor="text1"/>
          <w:szCs w:val="24"/>
        </w:rPr>
        <w:t xml:space="preserve">Leeds will monitor, and report on, the engagement of researchers and their managers with professional development activities, and researcher career development reviews (PCDI6) </w:t>
      </w:r>
    </w:p>
    <w:p w14:paraId="359F403E" w14:textId="6D064E7C" w:rsidR="47F76A11" w:rsidRDefault="47F76A11" w:rsidP="00A42BBA">
      <w:pPr>
        <w:pStyle w:val="ListParagraph"/>
        <w:numPr>
          <w:ilvl w:val="0"/>
          <w:numId w:val="12"/>
        </w:numPr>
        <w:shd w:val="clear" w:color="auto" w:fill="DAE9F7" w:themeFill="text2" w:themeFillTint="1A"/>
        <w:spacing w:after="0" w:line="300" w:lineRule="auto"/>
        <w:rPr>
          <w:color w:val="000000" w:themeColor="text1"/>
        </w:rPr>
      </w:pPr>
      <w:r w:rsidRPr="00A42BBA">
        <w:rPr>
          <w:color w:val="000000" w:themeColor="text1"/>
          <w:szCs w:val="24"/>
        </w:rPr>
        <w:t xml:space="preserve">Researchers must maintain an up-to-date professional career development plan and build a portfolio of evidence demonstrating their experience, that can be used to support job applications (PCDR3) </w:t>
      </w:r>
    </w:p>
    <w:p w14:paraId="624675ED" w14:textId="11A98AA3" w:rsidR="47F76A11" w:rsidRDefault="47F76A11" w:rsidP="01A28F3D">
      <w:pPr>
        <w:pStyle w:val="ListParagraph"/>
        <w:numPr>
          <w:ilvl w:val="0"/>
          <w:numId w:val="12"/>
        </w:numPr>
        <w:shd w:val="clear" w:color="auto" w:fill="DAE9F7" w:themeFill="text2" w:themeFillTint="1A"/>
        <w:spacing w:after="240" w:line="300" w:lineRule="auto"/>
        <w:rPr>
          <w:color w:val="000000" w:themeColor="text1"/>
        </w:rPr>
      </w:pPr>
      <w:r w:rsidRPr="01A28F3D">
        <w:rPr>
          <w:color w:val="000000" w:themeColor="text1"/>
        </w:rPr>
        <w:t xml:space="preserve">Researchers must engage in development opportunities to maximise their career conversations with their managers (PCDR4). </w:t>
      </w:r>
    </w:p>
    <w:p w14:paraId="42DE80A9" w14:textId="30DF6EBD" w:rsidR="01A28F3D" w:rsidRDefault="01A28F3D" w:rsidP="01A28F3D">
      <w:pPr>
        <w:pStyle w:val="ListParagraph"/>
        <w:spacing w:after="240" w:line="300" w:lineRule="auto"/>
        <w:ind w:left="360"/>
        <w:rPr>
          <w:color w:val="000000" w:themeColor="text1"/>
        </w:rPr>
      </w:pPr>
    </w:p>
    <w:p w14:paraId="2156A809" w14:textId="731EBB3E" w:rsidR="492A7A84" w:rsidRDefault="492A7A84" w:rsidP="01A28F3D">
      <w:pPr>
        <w:pStyle w:val="Heading3"/>
        <w:shd w:val="clear" w:color="auto" w:fill="153D63" w:themeFill="text2" w:themeFillTint="E6"/>
        <w:spacing w:before="240" w:after="120" w:line="300" w:lineRule="auto"/>
        <w:rPr>
          <w:rFonts w:ascii="Segoe UI" w:eastAsia="Segoe UI" w:hAnsi="Segoe UI" w:cs="Segoe UI"/>
          <w:b w:val="0"/>
          <w:bCs w:val="0"/>
          <w:color w:val="FFFFFF" w:themeColor="background1"/>
        </w:rPr>
      </w:pPr>
      <w:r w:rsidRPr="6C3C559F">
        <w:rPr>
          <w:rFonts w:ascii="Segoe UI" w:eastAsia="Segoe UI" w:hAnsi="Segoe UI" w:cs="Segoe UI"/>
          <w:b w:val="0"/>
          <w:bCs w:val="0"/>
          <w:color w:val="FFFFFF" w:themeColor="background1"/>
        </w:rPr>
        <w:t xml:space="preserve"> </w:t>
      </w:r>
      <w:r w:rsidR="464DCCCF" w:rsidRPr="6C3C559F">
        <w:rPr>
          <w:rFonts w:ascii="Segoe UI" w:eastAsia="Segoe UI" w:hAnsi="Segoe UI" w:cs="Segoe UI"/>
          <w:b w:val="0"/>
          <w:bCs w:val="0"/>
          <w:color w:val="FFFFFF" w:themeColor="background1"/>
        </w:rPr>
        <w:t>Theme 8 — Career Identity</w:t>
      </w:r>
      <w:r w:rsidR="43298006" w:rsidRPr="6C3C559F">
        <w:rPr>
          <w:rFonts w:ascii="Segoe UI" w:eastAsia="Segoe UI" w:hAnsi="Segoe UI" w:cs="Segoe UI"/>
          <w:b w:val="0"/>
          <w:bCs w:val="0"/>
          <w:color w:val="FFFFFF" w:themeColor="background1"/>
        </w:rPr>
        <w:t xml:space="preserve"> and </w:t>
      </w:r>
      <w:r w:rsidR="464DCCCF" w:rsidRPr="6C3C559F">
        <w:rPr>
          <w:rFonts w:ascii="Segoe UI" w:eastAsia="Segoe UI" w:hAnsi="Segoe UI" w:cs="Segoe UI"/>
          <w:b w:val="0"/>
          <w:bCs w:val="0"/>
          <w:color w:val="FFFFFF" w:themeColor="background1"/>
        </w:rPr>
        <w:t xml:space="preserve">Sector Mobility </w:t>
      </w:r>
    </w:p>
    <w:p w14:paraId="55D6DAE7" w14:textId="6E00F143" w:rsidR="464DCCCF" w:rsidRDefault="464DCCCF" w:rsidP="24F8A5F8">
      <w:r w:rsidRPr="24F8A5F8">
        <w:t>This theme supports researchers to build their career identity</w:t>
      </w:r>
      <w:r w:rsidR="00982B9E">
        <w:t xml:space="preserve"> </w:t>
      </w:r>
      <w:r w:rsidRPr="24F8A5F8">
        <w:t>and engage confidently with opportunities within and beyond academia.</w:t>
      </w:r>
    </w:p>
    <w:p w14:paraId="761365B7" w14:textId="2E889EBD" w:rsidR="636A9F33" w:rsidRDefault="636A9F33" w:rsidP="24F8A5F8">
      <w:pPr>
        <w:pStyle w:val="Heading2"/>
        <w:spacing w:after="240"/>
        <w:rPr>
          <w:color w:val="153D63" w:themeColor="text2" w:themeTint="E6"/>
        </w:rPr>
      </w:pPr>
      <w:r w:rsidRPr="24F8A5F8">
        <w:rPr>
          <w:color w:val="153D63" w:themeColor="text2" w:themeTint="E6"/>
        </w:rPr>
        <w:t>Planned actions:</w:t>
      </w:r>
    </w:p>
    <w:tbl>
      <w:tblPr>
        <w:tblStyle w:val="TableGrid"/>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3738"/>
        <w:gridCol w:w="3930"/>
        <w:gridCol w:w="1197"/>
        <w:gridCol w:w="1005"/>
      </w:tblGrid>
      <w:tr w:rsidR="24F8A5F8" w14:paraId="097BC005" w14:textId="77777777" w:rsidTr="000876EA">
        <w:trPr>
          <w:trHeight w:val="495"/>
        </w:trPr>
        <w:tc>
          <w:tcPr>
            <w:tcW w:w="3811" w:type="dxa"/>
            <w:shd w:val="clear" w:color="auto" w:fill="A5C9EB" w:themeFill="text2" w:themeFillTint="40"/>
            <w:vAlign w:val="center"/>
          </w:tcPr>
          <w:p w14:paraId="58514208" w14:textId="0C24131D" w:rsidR="24F8A5F8" w:rsidRDefault="24F8A5F8" w:rsidP="24F8A5F8">
            <w:pPr>
              <w:rPr>
                <w:b/>
                <w:bCs/>
                <w:szCs w:val="24"/>
              </w:rPr>
            </w:pPr>
            <w:r w:rsidRPr="24F8A5F8">
              <w:rPr>
                <w:b/>
                <w:bCs/>
                <w:szCs w:val="24"/>
              </w:rPr>
              <w:t>Action</w:t>
            </w:r>
          </w:p>
        </w:tc>
        <w:tc>
          <w:tcPr>
            <w:tcW w:w="4005" w:type="dxa"/>
            <w:shd w:val="clear" w:color="auto" w:fill="A5C9EB" w:themeFill="text2" w:themeFillTint="40"/>
            <w:vAlign w:val="center"/>
          </w:tcPr>
          <w:p w14:paraId="0F2C7002" w14:textId="576DA5F8" w:rsidR="24F8A5F8" w:rsidRDefault="24F8A5F8" w:rsidP="24F8A5F8">
            <w:pPr>
              <w:rPr>
                <w:b/>
                <w:bCs/>
                <w:szCs w:val="24"/>
              </w:rPr>
            </w:pPr>
            <w:r w:rsidRPr="24F8A5F8">
              <w:rPr>
                <w:b/>
                <w:bCs/>
                <w:szCs w:val="24"/>
              </w:rPr>
              <w:t>Success</w:t>
            </w:r>
          </w:p>
        </w:tc>
        <w:tc>
          <w:tcPr>
            <w:tcW w:w="1045" w:type="dxa"/>
            <w:shd w:val="clear" w:color="auto" w:fill="A5C9EB" w:themeFill="text2" w:themeFillTint="40"/>
            <w:vAlign w:val="center"/>
          </w:tcPr>
          <w:p w14:paraId="6C92C5A3" w14:textId="714DB183" w:rsidR="24F8A5F8" w:rsidRDefault="24F8A5F8" w:rsidP="24F8A5F8">
            <w:pPr>
              <w:jc w:val="center"/>
              <w:rPr>
                <w:b/>
                <w:bCs/>
                <w:szCs w:val="24"/>
              </w:rPr>
            </w:pPr>
            <w:r w:rsidRPr="24F8A5F8">
              <w:rPr>
                <w:b/>
                <w:bCs/>
                <w:szCs w:val="24"/>
              </w:rPr>
              <w:t>Lead</w:t>
            </w:r>
          </w:p>
        </w:tc>
        <w:tc>
          <w:tcPr>
            <w:tcW w:w="1009" w:type="dxa"/>
            <w:shd w:val="clear" w:color="auto" w:fill="A5C9EB" w:themeFill="text2" w:themeFillTint="40"/>
            <w:vAlign w:val="center"/>
          </w:tcPr>
          <w:p w14:paraId="69EBF256" w14:textId="1E21A64B" w:rsidR="24F8A5F8" w:rsidRDefault="24F8A5F8" w:rsidP="24F8A5F8">
            <w:pPr>
              <w:jc w:val="center"/>
              <w:rPr>
                <w:b/>
                <w:bCs/>
                <w:szCs w:val="24"/>
              </w:rPr>
            </w:pPr>
            <w:r w:rsidRPr="24F8A5F8">
              <w:rPr>
                <w:b/>
                <w:bCs/>
                <w:szCs w:val="24"/>
              </w:rPr>
              <w:t>Due</w:t>
            </w:r>
          </w:p>
        </w:tc>
      </w:tr>
      <w:tr w:rsidR="24F8A5F8" w14:paraId="1A73C969" w14:textId="77777777" w:rsidTr="000876EA">
        <w:trPr>
          <w:trHeight w:val="1989"/>
        </w:trPr>
        <w:tc>
          <w:tcPr>
            <w:tcW w:w="3811" w:type="dxa"/>
          </w:tcPr>
          <w:p w14:paraId="723B3063" w14:textId="670F3C1F" w:rsidR="106549D5" w:rsidRPr="00A42BBA" w:rsidRDefault="5363E6D9" w:rsidP="5CB0DF6C">
            <w:pPr>
              <w:spacing w:before="120" w:after="120"/>
              <w:rPr>
                <w:rStyle w:val="normaltextrun"/>
                <w:rFonts w:ascii="Aptos" w:eastAsia="Calibri" w:hAnsi="Aptos" w:cs="Calibri"/>
                <w:color w:val="000000" w:themeColor="text1"/>
              </w:rPr>
            </w:pPr>
            <w:r w:rsidRPr="5CB0DF6C">
              <w:rPr>
                <w:rStyle w:val="normaltextrun"/>
                <w:rFonts w:ascii="Aptos" w:eastAsia="Calibri" w:hAnsi="Aptos" w:cs="Calibri"/>
                <w:color w:val="000000" w:themeColor="text1"/>
              </w:rPr>
              <w:t>Promote the PROSP</w:t>
            </w:r>
            <w:r w:rsidR="2EE43695" w:rsidRPr="5CB0DF6C">
              <w:rPr>
                <w:rStyle w:val="normaltextrun"/>
                <w:rFonts w:ascii="Aptos" w:eastAsia="Calibri" w:hAnsi="Aptos" w:cs="Calibri"/>
                <w:color w:val="000000" w:themeColor="text1"/>
              </w:rPr>
              <w:t>ER</w:t>
            </w:r>
            <w:r w:rsidRPr="5CB0DF6C">
              <w:rPr>
                <w:rStyle w:val="normaltextrun"/>
                <w:rFonts w:ascii="Aptos" w:eastAsia="Calibri" w:hAnsi="Aptos" w:cs="Calibri"/>
                <w:color w:val="000000" w:themeColor="text1"/>
              </w:rPr>
              <w:t xml:space="preserve"> portal to researchers and collaborate with the White Rose University Consortium to deliver a cross-institutional PROSPER cohort programme. </w:t>
            </w:r>
          </w:p>
        </w:tc>
        <w:tc>
          <w:tcPr>
            <w:tcW w:w="4005" w:type="dxa"/>
          </w:tcPr>
          <w:p w14:paraId="1989E6A0" w14:textId="41EAE465" w:rsidR="106549D5" w:rsidRPr="00A42BBA" w:rsidRDefault="106549D5" w:rsidP="002308E6">
            <w:pPr>
              <w:spacing w:before="120" w:after="120"/>
              <w:rPr>
                <w:rFonts w:ascii="Aptos" w:eastAsia="Calibri" w:hAnsi="Aptos" w:cs="Calibri"/>
                <w:color w:val="000000" w:themeColor="text1"/>
                <w:szCs w:val="24"/>
              </w:rPr>
            </w:pPr>
            <w:r w:rsidRPr="00A42BBA">
              <w:rPr>
                <w:rFonts w:ascii="Aptos" w:eastAsia="Calibri" w:hAnsi="Aptos" w:cs="Calibri"/>
                <w:color w:val="000000" w:themeColor="text1"/>
                <w:szCs w:val="24"/>
              </w:rPr>
              <w:t>Leeds researchers registering and accessing the platform increasing by 10% per year. Participation of 7-9 researchers in the cohort programme.</w:t>
            </w:r>
          </w:p>
        </w:tc>
        <w:tc>
          <w:tcPr>
            <w:tcW w:w="1045" w:type="dxa"/>
          </w:tcPr>
          <w:p w14:paraId="7DAAA962" w14:textId="6315F15E" w:rsidR="24F8A5F8" w:rsidRPr="00A42BBA" w:rsidRDefault="50774CCE" w:rsidP="005E4127">
            <w:pPr>
              <w:spacing w:before="120" w:after="120"/>
              <w:jc w:val="center"/>
              <w:rPr>
                <w:rFonts w:ascii="Aptos" w:hAnsi="Aptos"/>
                <w:szCs w:val="24"/>
              </w:rPr>
            </w:pPr>
            <w:r w:rsidRPr="00A42BBA">
              <w:rPr>
                <w:rFonts w:ascii="Aptos" w:hAnsi="Aptos"/>
                <w:szCs w:val="24"/>
              </w:rPr>
              <w:t>RDRC Team</w:t>
            </w:r>
          </w:p>
          <w:p w14:paraId="0226580D" w14:textId="6CEFB0AD" w:rsidR="24F8A5F8" w:rsidRPr="00A42BBA" w:rsidRDefault="50774CCE" w:rsidP="005E4127">
            <w:pPr>
              <w:spacing w:before="120" w:after="120"/>
              <w:jc w:val="center"/>
              <w:rPr>
                <w:rFonts w:ascii="Aptos" w:hAnsi="Aptos"/>
                <w:szCs w:val="24"/>
              </w:rPr>
            </w:pPr>
            <w:r w:rsidRPr="00A42BBA">
              <w:rPr>
                <w:rFonts w:ascii="Aptos" w:hAnsi="Aptos"/>
                <w:szCs w:val="24"/>
              </w:rPr>
              <w:t>White Rose</w:t>
            </w:r>
          </w:p>
        </w:tc>
        <w:tc>
          <w:tcPr>
            <w:tcW w:w="1009" w:type="dxa"/>
          </w:tcPr>
          <w:p w14:paraId="61AD519A" w14:textId="4B1EA358" w:rsidR="24F8A5F8" w:rsidRPr="00A42BBA" w:rsidRDefault="50774CCE" w:rsidP="005E4127">
            <w:pPr>
              <w:spacing w:before="120" w:after="120"/>
              <w:jc w:val="center"/>
              <w:rPr>
                <w:rFonts w:ascii="Aptos" w:hAnsi="Aptos"/>
                <w:szCs w:val="24"/>
              </w:rPr>
            </w:pPr>
            <w:r w:rsidRPr="00A42BBA">
              <w:rPr>
                <w:rFonts w:ascii="Aptos" w:hAnsi="Aptos"/>
                <w:szCs w:val="24"/>
              </w:rPr>
              <w:t>June 2027</w:t>
            </w:r>
          </w:p>
        </w:tc>
      </w:tr>
      <w:tr w:rsidR="24F8A5F8" w14:paraId="7EAF7DF3" w14:textId="77777777" w:rsidTr="000876EA">
        <w:trPr>
          <w:trHeight w:val="300"/>
        </w:trPr>
        <w:tc>
          <w:tcPr>
            <w:tcW w:w="3811" w:type="dxa"/>
          </w:tcPr>
          <w:p w14:paraId="02F87E6A" w14:textId="214F4BD0" w:rsidR="106549D5" w:rsidRPr="00A42BBA" w:rsidRDefault="106549D5" w:rsidP="002308E6">
            <w:pPr>
              <w:spacing w:before="120" w:after="120"/>
              <w:rPr>
                <w:rFonts w:ascii="Aptos" w:eastAsia="Calibri" w:hAnsi="Aptos" w:cs="Calibri"/>
                <w:color w:val="000000" w:themeColor="text1"/>
                <w:szCs w:val="24"/>
              </w:rPr>
            </w:pPr>
            <w:r w:rsidRPr="00A42BBA">
              <w:rPr>
                <w:rStyle w:val="normaltextrun"/>
                <w:rFonts w:ascii="Aptos" w:eastAsia="Calibri" w:hAnsi="Aptos" w:cs="Calibri"/>
                <w:color w:val="000000" w:themeColor="text1"/>
                <w:szCs w:val="24"/>
              </w:rPr>
              <w:lastRenderedPageBreak/>
              <w:t>Support the UKCGE Associate Supervisor programme to encourage Research Staff to get recognition for their supervisory practice.</w:t>
            </w:r>
            <w:r w:rsidRPr="00A42BBA">
              <w:rPr>
                <w:rStyle w:val="eop"/>
                <w:rFonts w:ascii="Aptos" w:eastAsia="Calibri" w:hAnsi="Aptos" w:cs="Calibri"/>
                <w:color w:val="000000" w:themeColor="text1"/>
                <w:sz w:val="24"/>
                <w:szCs w:val="24"/>
              </w:rPr>
              <w:t> </w:t>
            </w:r>
          </w:p>
        </w:tc>
        <w:tc>
          <w:tcPr>
            <w:tcW w:w="4005" w:type="dxa"/>
          </w:tcPr>
          <w:p w14:paraId="1FA7B692" w14:textId="1F703A82" w:rsidR="106549D5" w:rsidRPr="00A42BBA" w:rsidRDefault="106549D5" w:rsidP="002308E6">
            <w:pPr>
              <w:spacing w:before="120" w:after="120"/>
              <w:rPr>
                <w:rFonts w:ascii="Aptos" w:eastAsia="Calibri" w:hAnsi="Aptos" w:cs="Calibri"/>
                <w:color w:val="000000" w:themeColor="text1"/>
                <w:szCs w:val="24"/>
              </w:rPr>
            </w:pPr>
            <w:r w:rsidRPr="00A42BBA">
              <w:rPr>
                <w:rStyle w:val="normaltextrun"/>
                <w:rFonts w:ascii="Aptos" w:eastAsia="Calibri" w:hAnsi="Aptos" w:cs="Calibri"/>
                <w:color w:val="000000" w:themeColor="text1"/>
                <w:szCs w:val="24"/>
              </w:rPr>
              <w:t>Support 20 + applications in the first year with a view to expanding this in subsequent years with appropriate resource ie fees, application writing coaching etc. HR to recognise this award as evidence in promotion applications. </w:t>
            </w:r>
          </w:p>
        </w:tc>
        <w:tc>
          <w:tcPr>
            <w:tcW w:w="1045" w:type="dxa"/>
          </w:tcPr>
          <w:p w14:paraId="5F978245" w14:textId="57DD8A5C" w:rsidR="24F8A5F8" w:rsidRPr="00A42BBA" w:rsidRDefault="6FE006D6" w:rsidP="005E4127">
            <w:pPr>
              <w:spacing w:before="120" w:after="120"/>
              <w:jc w:val="center"/>
              <w:rPr>
                <w:rFonts w:ascii="Aptos" w:hAnsi="Aptos"/>
                <w:szCs w:val="24"/>
              </w:rPr>
            </w:pPr>
            <w:r w:rsidRPr="00A42BBA">
              <w:rPr>
                <w:rFonts w:ascii="Aptos" w:hAnsi="Aptos"/>
                <w:szCs w:val="24"/>
              </w:rPr>
              <w:t>RDRC Team</w:t>
            </w:r>
          </w:p>
        </w:tc>
        <w:tc>
          <w:tcPr>
            <w:tcW w:w="1009" w:type="dxa"/>
          </w:tcPr>
          <w:p w14:paraId="408CDD37" w14:textId="7A04022D" w:rsidR="24F8A5F8" w:rsidRPr="00A42BBA" w:rsidRDefault="2E9AB356" w:rsidP="005E4127">
            <w:pPr>
              <w:spacing w:before="120" w:after="120"/>
              <w:jc w:val="center"/>
              <w:rPr>
                <w:rFonts w:ascii="Aptos" w:hAnsi="Aptos"/>
                <w:szCs w:val="24"/>
              </w:rPr>
            </w:pPr>
            <w:r w:rsidRPr="00A42BBA">
              <w:rPr>
                <w:rFonts w:ascii="Aptos" w:hAnsi="Aptos"/>
                <w:szCs w:val="24"/>
              </w:rPr>
              <w:t>Dec 2026</w:t>
            </w:r>
          </w:p>
        </w:tc>
      </w:tr>
      <w:tr w:rsidR="24F8A5F8" w14:paraId="0336AAF3" w14:textId="77777777" w:rsidTr="000876EA">
        <w:trPr>
          <w:trHeight w:val="2032"/>
        </w:trPr>
        <w:tc>
          <w:tcPr>
            <w:tcW w:w="3811" w:type="dxa"/>
          </w:tcPr>
          <w:p w14:paraId="5C559718" w14:textId="7D213268" w:rsidR="24F8A5F8" w:rsidRDefault="005E4127" w:rsidP="002308E6">
            <w:pPr>
              <w:spacing w:before="120" w:after="120"/>
              <w:rPr>
                <w:rFonts w:ascii="Aptos" w:eastAsia="Aptos" w:hAnsi="Aptos" w:cs="Aptos"/>
              </w:rPr>
            </w:pPr>
            <w:r>
              <w:rPr>
                <w:rStyle w:val="normaltextrun"/>
                <w:rFonts w:ascii="Aptos" w:eastAsia="Calibri" w:hAnsi="Aptos" w:cs="Calibri"/>
                <w:color w:val="000000" w:themeColor="text1"/>
                <w:szCs w:val="24"/>
              </w:rPr>
              <w:t xml:space="preserve">Deliver </w:t>
            </w:r>
            <w:r w:rsidR="2E9AB356" w:rsidRPr="00A42BBA">
              <w:rPr>
                <w:rStyle w:val="normaltextrun"/>
                <w:rFonts w:ascii="Aptos" w:eastAsia="Calibri" w:hAnsi="Aptos" w:cs="Calibri"/>
                <w:color w:val="000000" w:themeColor="text1"/>
                <w:szCs w:val="24"/>
              </w:rPr>
              <w:t>a new funding and fellowship pathway to support researchers wanting to explore funding and an independent research identity.</w:t>
            </w:r>
            <w:r w:rsidR="2E9AB356" w:rsidRPr="00A42BBA">
              <w:rPr>
                <w:rStyle w:val="eop"/>
                <w:rFonts w:ascii="Aptos" w:eastAsia="Calibri" w:hAnsi="Aptos" w:cs="Calibri"/>
                <w:color w:val="000000" w:themeColor="text1"/>
                <w:sz w:val="24"/>
                <w:szCs w:val="24"/>
              </w:rPr>
              <w:t> </w:t>
            </w:r>
          </w:p>
        </w:tc>
        <w:tc>
          <w:tcPr>
            <w:tcW w:w="4005" w:type="dxa"/>
          </w:tcPr>
          <w:p w14:paraId="4F82C25F" w14:textId="2AA8DA26" w:rsidR="24F8A5F8" w:rsidRPr="005E4127" w:rsidRDefault="2E9AB356" w:rsidP="002308E6">
            <w:pPr>
              <w:spacing w:before="120" w:after="120"/>
              <w:rPr>
                <w:rFonts w:ascii="Aptos" w:eastAsia="Calibri" w:hAnsi="Aptos" w:cs="Calibri"/>
                <w:color w:val="000000" w:themeColor="text1"/>
                <w:szCs w:val="24"/>
              </w:rPr>
            </w:pPr>
            <w:r w:rsidRPr="00A42BBA">
              <w:rPr>
                <w:rStyle w:val="normaltextrun"/>
                <w:rFonts w:ascii="Aptos" w:eastAsia="Calibri" w:hAnsi="Aptos" w:cs="Calibri"/>
                <w:color w:val="000000" w:themeColor="text1"/>
                <w:szCs w:val="24"/>
              </w:rPr>
              <w:t xml:space="preserve">Deliver 1-2 cohorts of Fellowship Accelerator with up to 24 participants. Increased standard of Expression of Interest forms. Increase in applicant confidence levels. </w:t>
            </w:r>
          </w:p>
        </w:tc>
        <w:tc>
          <w:tcPr>
            <w:tcW w:w="1045" w:type="dxa"/>
          </w:tcPr>
          <w:p w14:paraId="4E99684B" w14:textId="6118BD4C" w:rsidR="24F8A5F8" w:rsidRPr="00A42BBA" w:rsidRDefault="2E9AB356" w:rsidP="005E4127">
            <w:pPr>
              <w:spacing w:before="120" w:after="120"/>
              <w:jc w:val="center"/>
              <w:rPr>
                <w:rFonts w:ascii="Aptos" w:hAnsi="Aptos"/>
                <w:szCs w:val="24"/>
              </w:rPr>
            </w:pPr>
            <w:r w:rsidRPr="00A42BBA">
              <w:rPr>
                <w:rFonts w:ascii="Aptos" w:hAnsi="Aptos"/>
                <w:szCs w:val="24"/>
              </w:rPr>
              <w:t>RDRC Team</w:t>
            </w:r>
          </w:p>
          <w:p w14:paraId="7EE32C3E" w14:textId="434B5478" w:rsidR="24F8A5F8" w:rsidRPr="00A42BBA" w:rsidRDefault="24F8A5F8" w:rsidP="005E4127">
            <w:pPr>
              <w:spacing w:before="120" w:after="120"/>
              <w:jc w:val="center"/>
              <w:rPr>
                <w:rFonts w:ascii="Aptos" w:hAnsi="Aptos"/>
                <w:szCs w:val="24"/>
              </w:rPr>
            </w:pPr>
          </w:p>
        </w:tc>
        <w:tc>
          <w:tcPr>
            <w:tcW w:w="1009" w:type="dxa"/>
          </w:tcPr>
          <w:p w14:paraId="4911A8F5" w14:textId="2B95D9E5" w:rsidR="24F8A5F8" w:rsidRPr="00A42BBA" w:rsidRDefault="2E9AB356" w:rsidP="005E4127">
            <w:pPr>
              <w:spacing w:before="120" w:after="120"/>
              <w:jc w:val="center"/>
              <w:rPr>
                <w:rFonts w:ascii="Aptos" w:hAnsi="Aptos"/>
                <w:szCs w:val="24"/>
              </w:rPr>
            </w:pPr>
            <w:r w:rsidRPr="00A42BBA">
              <w:rPr>
                <w:rFonts w:ascii="Aptos" w:hAnsi="Aptos"/>
                <w:szCs w:val="24"/>
              </w:rPr>
              <w:t>March 2027</w:t>
            </w:r>
          </w:p>
        </w:tc>
      </w:tr>
      <w:tr w:rsidR="24F8A5F8" w14:paraId="3A5355C4" w14:textId="77777777" w:rsidTr="000876EA">
        <w:trPr>
          <w:trHeight w:val="300"/>
        </w:trPr>
        <w:tc>
          <w:tcPr>
            <w:tcW w:w="3811" w:type="dxa"/>
          </w:tcPr>
          <w:p w14:paraId="4A85E572" w14:textId="150989CF" w:rsidR="24F8A5F8" w:rsidRPr="00A42BBA" w:rsidRDefault="41430441" w:rsidP="5CB0DF6C">
            <w:pPr>
              <w:spacing w:before="120" w:after="120"/>
              <w:rPr>
                <w:rFonts w:ascii="Aptos" w:hAnsi="Aptos"/>
              </w:rPr>
            </w:pPr>
            <w:r w:rsidRPr="5CB0DF6C">
              <w:rPr>
                <w:rFonts w:ascii="Aptos" w:hAnsi="Aptos"/>
                <w:b/>
                <w:bCs/>
              </w:rPr>
              <w:t>*NEW:</w:t>
            </w:r>
            <w:r w:rsidRPr="5CB0DF6C">
              <w:rPr>
                <w:rFonts w:ascii="Aptos" w:hAnsi="Aptos"/>
              </w:rPr>
              <w:t xml:space="preserve"> Develop a new funding hub bringing together resources and guides from RDRC and RIS</w:t>
            </w:r>
          </w:p>
        </w:tc>
        <w:tc>
          <w:tcPr>
            <w:tcW w:w="4005" w:type="dxa"/>
          </w:tcPr>
          <w:p w14:paraId="2906105C" w14:textId="74C1197B" w:rsidR="24F8A5F8" w:rsidRPr="005E4127" w:rsidRDefault="1BE0D917" w:rsidP="002308E6">
            <w:pPr>
              <w:spacing w:before="120" w:after="120"/>
              <w:rPr>
                <w:rFonts w:ascii="Aptos" w:eastAsia="Calibri" w:hAnsi="Aptos" w:cs="Calibri"/>
                <w:color w:val="000000" w:themeColor="text1"/>
                <w:szCs w:val="24"/>
              </w:rPr>
            </w:pPr>
            <w:r w:rsidRPr="00A42BBA">
              <w:rPr>
                <w:rFonts w:ascii="Aptos" w:hAnsi="Aptos"/>
                <w:szCs w:val="24"/>
              </w:rPr>
              <w:t xml:space="preserve">Launch of a new internal funding hub. </w:t>
            </w:r>
            <w:r w:rsidRPr="00A42BBA">
              <w:rPr>
                <w:rStyle w:val="normaltextrun"/>
                <w:rFonts w:ascii="Aptos" w:eastAsia="Calibri" w:hAnsi="Aptos" w:cs="Calibri"/>
                <w:color w:val="000000" w:themeColor="text1"/>
                <w:szCs w:val="24"/>
              </w:rPr>
              <w:t>Increase in applicant confidence levels.</w:t>
            </w:r>
            <w:r w:rsidR="44AA501E" w:rsidRPr="00A42BBA">
              <w:rPr>
                <w:rStyle w:val="normaltextrun"/>
                <w:rFonts w:ascii="Aptos" w:eastAsia="Calibri" w:hAnsi="Aptos" w:cs="Calibri"/>
                <w:color w:val="000000" w:themeColor="text1"/>
                <w:szCs w:val="24"/>
              </w:rPr>
              <w:t xml:space="preserve"> Evaluation from survey data and focus groups to show the development meets their needs</w:t>
            </w:r>
          </w:p>
        </w:tc>
        <w:tc>
          <w:tcPr>
            <w:tcW w:w="1045" w:type="dxa"/>
          </w:tcPr>
          <w:p w14:paraId="5A00F4B5" w14:textId="27BB545E" w:rsidR="24F8A5F8" w:rsidRPr="00A42BBA" w:rsidRDefault="44AA501E" w:rsidP="005E4127">
            <w:pPr>
              <w:spacing w:before="120" w:after="120"/>
              <w:jc w:val="center"/>
              <w:rPr>
                <w:rFonts w:ascii="Aptos" w:hAnsi="Aptos"/>
                <w:szCs w:val="24"/>
              </w:rPr>
            </w:pPr>
            <w:r w:rsidRPr="00A42BBA">
              <w:rPr>
                <w:rFonts w:ascii="Aptos" w:hAnsi="Aptos"/>
                <w:szCs w:val="24"/>
              </w:rPr>
              <w:t>RDRC Team</w:t>
            </w:r>
          </w:p>
          <w:p w14:paraId="341D92B9" w14:textId="18F6C26A" w:rsidR="24F8A5F8" w:rsidRPr="00A42BBA" w:rsidRDefault="44AA501E" w:rsidP="005E4127">
            <w:pPr>
              <w:spacing w:before="120" w:after="120"/>
              <w:jc w:val="center"/>
              <w:rPr>
                <w:rFonts w:ascii="Aptos" w:hAnsi="Aptos"/>
                <w:szCs w:val="24"/>
              </w:rPr>
            </w:pPr>
            <w:r w:rsidRPr="00A42BBA">
              <w:rPr>
                <w:rFonts w:ascii="Aptos" w:hAnsi="Aptos"/>
                <w:szCs w:val="24"/>
              </w:rPr>
              <w:t>RIS</w:t>
            </w:r>
          </w:p>
        </w:tc>
        <w:tc>
          <w:tcPr>
            <w:tcW w:w="1009" w:type="dxa"/>
          </w:tcPr>
          <w:p w14:paraId="7ED1DD0D" w14:textId="4656F85A" w:rsidR="24F8A5F8" w:rsidRPr="00A42BBA" w:rsidRDefault="44AA501E" w:rsidP="005E4127">
            <w:pPr>
              <w:spacing w:before="120" w:after="120"/>
              <w:jc w:val="center"/>
              <w:rPr>
                <w:rFonts w:ascii="Aptos" w:hAnsi="Aptos"/>
                <w:szCs w:val="24"/>
              </w:rPr>
            </w:pPr>
            <w:r w:rsidRPr="00A42BBA">
              <w:rPr>
                <w:rFonts w:ascii="Aptos" w:hAnsi="Aptos"/>
                <w:szCs w:val="24"/>
              </w:rPr>
              <w:t>Sept 2026</w:t>
            </w:r>
          </w:p>
        </w:tc>
      </w:tr>
      <w:tr w:rsidR="000876EA" w14:paraId="40666D96" w14:textId="77777777" w:rsidTr="00B25B57">
        <w:trPr>
          <w:trHeight w:val="2374"/>
        </w:trPr>
        <w:tc>
          <w:tcPr>
            <w:tcW w:w="3811" w:type="dxa"/>
          </w:tcPr>
          <w:p w14:paraId="5448A1D3" w14:textId="3394F057" w:rsidR="000876EA" w:rsidRPr="5CB0DF6C" w:rsidRDefault="000876EA" w:rsidP="5CB0DF6C">
            <w:pPr>
              <w:spacing w:before="120" w:after="120"/>
              <w:rPr>
                <w:rFonts w:ascii="Aptos" w:hAnsi="Aptos"/>
                <w:b/>
                <w:bCs/>
              </w:rPr>
            </w:pPr>
            <w:r>
              <w:rPr>
                <w:rFonts w:ascii="Aptos" w:hAnsi="Aptos"/>
                <w:b/>
                <w:bCs/>
              </w:rPr>
              <w:t xml:space="preserve">*New: </w:t>
            </w:r>
            <w:r w:rsidRPr="000876EA">
              <w:rPr>
                <w:rFonts w:ascii="Aptos" w:hAnsi="Aptos"/>
              </w:rPr>
              <w:t>Support the</w:t>
            </w:r>
            <w:r w:rsidRPr="000876EA">
              <w:rPr>
                <w:rFonts w:ascii="Aptos" w:hAnsi="Aptos"/>
              </w:rPr>
              <w:t xml:space="preserve"> </w:t>
            </w:r>
            <w:r w:rsidRPr="000876EA">
              <w:rPr>
                <w:rFonts w:ascii="Aptos" w:hAnsi="Aptos"/>
              </w:rPr>
              <w:t>development and</w:t>
            </w:r>
            <w:r w:rsidRPr="000876EA">
              <w:rPr>
                <w:rFonts w:ascii="Aptos" w:hAnsi="Aptos"/>
              </w:rPr>
              <w:t xml:space="preserve"> expan</w:t>
            </w:r>
            <w:r w:rsidRPr="000876EA">
              <w:rPr>
                <w:rFonts w:ascii="Aptos" w:hAnsi="Aptos"/>
              </w:rPr>
              <w:t>sion of</w:t>
            </w:r>
            <w:r w:rsidRPr="000876EA">
              <w:rPr>
                <w:rFonts w:ascii="Aptos" w:hAnsi="Aptos"/>
              </w:rPr>
              <w:t xml:space="preserve"> the researcher-focused online information hub, including extending PRINCE2 project management training to researchers across three faculties.</w:t>
            </w:r>
          </w:p>
        </w:tc>
        <w:tc>
          <w:tcPr>
            <w:tcW w:w="4005" w:type="dxa"/>
          </w:tcPr>
          <w:p w14:paraId="7D3F882D" w14:textId="6CC4037B" w:rsidR="000B234C" w:rsidRPr="000B234C" w:rsidRDefault="000B234C" w:rsidP="000B234C">
            <w:pPr>
              <w:spacing w:before="120" w:after="120"/>
              <w:rPr>
                <w:rFonts w:ascii="Aptos" w:hAnsi="Aptos"/>
                <w:szCs w:val="24"/>
              </w:rPr>
            </w:pPr>
            <w:r>
              <w:rPr>
                <w:rFonts w:ascii="Aptos" w:hAnsi="Aptos"/>
                <w:szCs w:val="24"/>
              </w:rPr>
              <w:t>H</w:t>
            </w:r>
            <w:r w:rsidRPr="000B234C">
              <w:rPr>
                <w:rFonts w:ascii="Aptos" w:hAnsi="Aptos"/>
                <w:szCs w:val="24"/>
              </w:rPr>
              <w:t>ub is actively used by researchers</w:t>
            </w:r>
            <w:r>
              <w:rPr>
                <w:rFonts w:ascii="Aptos" w:hAnsi="Aptos"/>
                <w:szCs w:val="24"/>
              </w:rPr>
              <w:t xml:space="preserve">, </w:t>
            </w:r>
            <w:r w:rsidRPr="000B234C">
              <w:rPr>
                <w:rFonts w:ascii="Aptos" w:hAnsi="Aptos"/>
                <w:szCs w:val="24"/>
              </w:rPr>
              <w:t>demonstrated through increased user engagement metrics and the successful completion of PRINCE2 certification by participants</w:t>
            </w:r>
            <w:r w:rsidR="00ED4784">
              <w:rPr>
                <w:rFonts w:ascii="Aptos" w:hAnsi="Aptos"/>
                <w:szCs w:val="24"/>
              </w:rPr>
              <w:t xml:space="preserve">. </w:t>
            </w:r>
          </w:p>
          <w:p w14:paraId="01751138" w14:textId="77777777" w:rsidR="000876EA" w:rsidRPr="00A42BBA" w:rsidRDefault="000876EA" w:rsidP="002308E6">
            <w:pPr>
              <w:spacing w:before="120" w:after="120"/>
              <w:rPr>
                <w:rFonts w:ascii="Aptos" w:hAnsi="Aptos"/>
                <w:szCs w:val="24"/>
              </w:rPr>
            </w:pPr>
          </w:p>
        </w:tc>
        <w:tc>
          <w:tcPr>
            <w:tcW w:w="1045" w:type="dxa"/>
          </w:tcPr>
          <w:p w14:paraId="59559218" w14:textId="0245F16F" w:rsidR="00EA45CD" w:rsidRPr="00EA45CD" w:rsidRDefault="00EA45CD" w:rsidP="00EA45CD">
            <w:pPr>
              <w:spacing w:before="120" w:after="120"/>
              <w:jc w:val="center"/>
              <w:rPr>
                <w:rFonts w:ascii="Aptos" w:hAnsi="Aptos"/>
                <w:szCs w:val="24"/>
              </w:rPr>
            </w:pPr>
            <w:r>
              <w:rPr>
                <w:rFonts w:ascii="Aptos" w:hAnsi="Aptos"/>
                <w:szCs w:val="24"/>
              </w:rPr>
              <w:t>R</w:t>
            </w:r>
            <w:r w:rsidRPr="00EA45CD">
              <w:rPr>
                <w:rFonts w:ascii="Aptos" w:hAnsi="Aptos"/>
                <w:szCs w:val="24"/>
              </w:rPr>
              <w:t>esearch staff</w:t>
            </w:r>
            <w:r>
              <w:rPr>
                <w:rFonts w:ascii="Aptos" w:hAnsi="Aptos"/>
                <w:szCs w:val="24"/>
              </w:rPr>
              <w:t xml:space="preserve">, </w:t>
            </w:r>
            <w:r w:rsidRPr="00EA45CD">
              <w:rPr>
                <w:rFonts w:ascii="Aptos" w:hAnsi="Aptos"/>
                <w:szCs w:val="24"/>
              </w:rPr>
              <w:t xml:space="preserve">RDRC </w:t>
            </w:r>
            <w:r>
              <w:rPr>
                <w:rFonts w:ascii="Aptos" w:hAnsi="Aptos"/>
                <w:szCs w:val="24"/>
              </w:rPr>
              <w:t>Team</w:t>
            </w:r>
            <w:r w:rsidR="00B25B57">
              <w:rPr>
                <w:rFonts w:ascii="Aptos" w:hAnsi="Aptos"/>
                <w:szCs w:val="24"/>
              </w:rPr>
              <w:t xml:space="preserve"> </w:t>
            </w:r>
            <w:r w:rsidRPr="00EA45CD">
              <w:rPr>
                <w:rFonts w:ascii="Aptos" w:hAnsi="Aptos"/>
                <w:szCs w:val="24"/>
              </w:rPr>
              <w:t xml:space="preserve">and </w:t>
            </w:r>
            <w:r w:rsidR="00B25B57">
              <w:rPr>
                <w:rFonts w:ascii="Aptos" w:hAnsi="Aptos"/>
                <w:szCs w:val="24"/>
              </w:rPr>
              <w:t>RIS</w:t>
            </w:r>
          </w:p>
          <w:p w14:paraId="03224499" w14:textId="77777777" w:rsidR="000876EA" w:rsidRPr="00A42BBA" w:rsidRDefault="000876EA" w:rsidP="005E4127">
            <w:pPr>
              <w:spacing w:before="120" w:after="120"/>
              <w:jc w:val="center"/>
              <w:rPr>
                <w:rFonts w:ascii="Aptos" w:hAnsi="Aptos"/>
                <w:szCs w:val="24"/>
              </w:rPr>
            </w:pPr>
          </w:p>
        </w:tc>
        <w:tc>
          <w:tcPr>
            <w:tcW w:w="1009" w:type="dxa"/>
          </w:tcPr>
          <w:p w14:paraId="54AE5E59" w14:textId="19CC5573" w:rsidR="000876EA" w:rsidRPr="00A42BBA" w:rsidRDefault="00B25B57" w:rsidP="005E4127">
            <w:pPr>
              <w:spacing w:before="120" w:after="120"/>
              <w:jc w:val="center"/>
              <w:rPr>
                <w:rFonts w:ascii="Aptos" w:hAnsi="Aptos"/>
                <w:szCs w:val="24"/>
              </w:rPr>
            </w:pPr>
            <w:r>
              <w:rPr>
                <w:rFonts w:ascii="Aptos" w:hAnsi="Aptos"/>
                <w:szCs w:val="24"/>
              </w:rPr>
              <w:t>July 2026</w:t>
            </w:r>
          </w:p>
        </w:tc>
      </w:tr>
    </w:tbl>
    <w:p w14:paraId="08C9BE02" w14:textId="6D27D109" w:rsidR="636A9F33" w:rsidRDefault="636A9F33" w:rsidP="24F8A5F8">
      <w:pPr>
        <w:pStyle w:val="Heading2"/>
        <w:spacing w:after="240"/>
        <w:rPr>
          <w:color w:val="153D63" w:themeColor="text2" w:themeTint="E6"/>
        </w:rPr>
      </w:pPr>
      <w:r w:rsidRPr="24F8A5F8">
        <w:rPr>
          <w:color w:val="153D63" w:themeColor="text2" w:themeTint="E6"/>
        </w:rPr>
        <w:t>Previous actions embedded as ongoing provision:</w:t>
      </w:r>
    </w:p>
    <w:p w14:paraId="5A42A299" w14:textId="660FA8D0" w:rsidR="24F8A5F8" w:rsidRPr="005E4127" w:rsidRDefault="7C0C0AF2" w:rsidP="106549D5">
      <w:pPr>
        <w:pStyle w:val="ListParagraph"/>
        <w:numPr>
          <w:ilvl w:val="0"/>
          <w:numId w:val="21"/>
        </w:numPr>
        <w:rPr>
          <w:rFonts w:ascii="Aptos" w:hAnsi="Aptos"/>
          <w:szCs w:val="24"/>
        </w:rPr>
      </w:pPr>
      <w:r w:rsidRPr="005E4127">
        <w:rPr>
          <w:rStyle w:val="normaltextrun"/>
          <w:rFonts w:ascii="Aptos" w:eastAsia="Calibri" w:hAnsi="Aptos" w:cs="Calibri"/>
          <w:color w:val="000000" w:themeColor="text1"/>
          <w:szCs w:val="24"/>
        </w:rPr>
        <w:t>Encourage researchers to join, and be active members of, our community of practice: Engaged Research MS Team. </w:t>
      </w:r>
    </w:p>
    <w:p w14:paraId="3B8D5AE9" w14:textId="5B89DF5E" w:rsidR="7C0C0AF2" w:rsidRPr="005E4127" w:rsidRDefault="7C0C0AF2" w:rsidP="106549D5">
      <w:pPr>
        <w:pStyle w:val="ListParagraph"/>
        <w:numPr>
          <w:ilvl w:val="0"/>
          <w:numId w:val="21"/>
        </w:numPr>
        <w:rPr>
          <w:rStyle w:val="normaltextrun"/>
          <w:rFonts w:ascii="Aptos" w:eastAsia="Calibri" w:hAnsi="Aptos" w:cs="Calibri"/>
          <w:color w:val="000000" w:themeColor="text1"/>
          <w:szCs w:val="24"/>
        </w:rPr>
      </w:pPr>
      <w:r w:rsidRPr="005E4127">
        <w:rPr>
          <w:rStyle w:val="normaltextrun"/>
          <w:rFonts w:ascii="Aptos" w:eastAsia="Calibri" w:hAnsi="Aptos" w:cs="Calibri"/>
          <w:color w:val="000000" w:themeColor="text1"/>
          <w:szCs w:val="24"/>
        </w:rPr>
        <w:t xml:space="preserve">Promote our resources for engaging with policy, Parliament and the UK government and other impact pathways that we have developed with an international development group of universities and Epigeum. We will monitor usage via LinkedIn Learning.  </w:t>
      </w:r>
    </w:p>
    <w:p w14:paraId="25A1A318" w14:textId="7A270A3A" w:rsidR="7C0C0AF2" w:rsidRPr="005E4127" w:rsidRDefault="7C0C0AF2" w:rsidP="106549D5">
      <w:pPr>
        <w:pStyle w:val="ListParagraph"/>
        <w:numPr>
          <w:ilvl w:val="0"/>
          <w:numId w:val="21"/>
        </w:numPr>
        <w:rPr>
          <w:rFonts w:ascii="Aptos" w:hAnsi="Aptos"/>
          <w:szCs w:val="24"/>
        </w:rPr>
      </w:pPr>
      <w:r w:rsidRPr="005E4127">
        <w:rPr>
          <w:rFonts w:ascii="Aptos" w:hAnsi="Aptos"/>
          <w:szCs w:val="24"/>
        </w:rPr>
        <w:t>Promote engagement with workshops offered via the knowledge exchange and commercialisation team in NEXUS.  </w:t>
      </w:r>
    </w:p>
    <w:p w14:paraId="791C48E8" w14:textId="6CFC2C38" w:rsidR="1638F49F" w:rsidRPr="005E4127" w:rsidRDefault="1638F49F" w:rsidP="106549D5">
      <w:pPr>
        <w:pStyle w:val="ListParagraph"/>
        <w:numPr>
          <w:ilvl w:val="0"/>
          <w:numId w:val="21"/>
        </w:numPr>
        <w:rPr>
          <w:rFonts w:ascii="Aptos" w:hAnsi="Aptos"/>
          <w:szCs w:val="24"/>
        </w:rPr>
      </w:pPr>
      <w:r w:rsidRPr="005E4127">
        <w:rPr>
          <w:rFonts w:ascii="Aptos" w:hAnsi="Aptos"/>
          <w:szCs w:val="24"/>
        </w:rPr>
        <w:t xml:space="preserve">Deliver our Foundations in Teaching (FiT) programme for those new to teaching. </w:t>
      </w:r>
    </w:p>
    <w:p w14:paraId="028CB60A" w14:textId="659B5510" w:rsidR="1638F49F" w:rsidRPr="005E4127" w:rsidRDefault="1638F49F" w:rsidP="106549D5">
      <w:pPr>
        <w:pStyle w:val="ListParagraph"/>
        <w:numPr>
          <w:ilvl w:val="0"/>
          <w:numId w:val="21"/>
        </w:numPr>
        <w:rPr>
          <w:rFonts w:ascii="Aptos" w:hAnsi="Aptos"/>
          <w:szCs w:val="24"/>
        </w:rPr>
      </w:pPr>
      <w:r w:rsidRPr="005E4127">
        <w:rPr>
          <w:rFonts w:ascii="Aptos" w:hAnsi="Aptos"/>
          <w:szCs w:val="24"/>
        </w:rPr>
        <w:t xml:space="preserve">Continue to promote participation in PRiSE to encourage Research Staff to get HEA accreditation for their teaching practice.  </w:t>
      </w:r>
    </w:p>
    <w:p w14:paraId="299C5EB7" w14:textId="0B86EC40" w:rsidR="1638F49F" w:rsidRPr="005E4127" w:rsidRDefault="1638F49F" w:rsidP="106549D5">
      <w:pPr>
        <w:pStyle w:val="ListParagraph"/>
        <w:numPr>
          <w:ilvl w:val="0"/>
          <w:numId w:val="21"/>
        </w:numPr>
        <w:rPr>
          <w:rFonts w:ascii="Aptos" w:hAnsi="Aptos"/>
          <w:szCs w:val="24"/>
        </w:rPr>
      </w:pPr>
      <w:r w:rsidRPr="005E4127">
        <w:rPr>
          <w:rFonts w:ascii="Aptos" w:hAnsi="Aptos"/>
          <w:szCs w:val="24"/>
        </w:rPr>
        <w:t>Promote Library Researcher Support resources alongside our responsible research development to support academic outputs, open access and data management including the new Open Research Hub</w:t>
      </w:r>
      <w:r w:rsidR="005E4127">
        <w:rPr>
          <w:rFonts w:ascii="Aptos" w:hAnsi="Aptos"/>
          <w:szCs w:val="24"/>
        </w:rPr>
        <w:t>.</w:t>
      </w:r>
    </w:p>
    <w:p w14:paraId="2571FD9A" w14:textId="5CE051AC" w:rsidR="636A9F33" w:rsidRDefault="636A9F33" w:rsidP="005E4127">
      <w:pPr>
        <w:pStyle w:val="Heading2"/>
        <w:shd w:val="clear" w:color="auto" w:fill="DAE9F7" w:themeFill="text2" w:themeFillTint="1A"/>
        <w:spacing w:after="240"/>
        <w:rPr>
          <w:color w:val="153D63" w:themeColor="text2" w:themeTint="E6"/>
        </w:rPr>
      </w:pPr>
      <w:r w:rsidRPr="6C3C559F">
        <w:rPr>
          <w:color w:val="153D63" w:themeColor="text2" w:themeTint="E6"/>
        </w:rPr>
        <w:lastRenderedPageBreak/>
        <w:t>Mapped principles:</w:t>
      </w:r>
    </w:p>
    <w:p w14:paraId="08961423" w14:textId="554B186E" w:rsidR="3F6E47B9" w:rsidRDefault="3F6E47B9" w:rsidP="005E4127">
      <w:pPr>
        <w:pStyle w:val="ListParagraph"/>
        <w:numPr>
          <w:ilvl w:val="0"/>
          <w:numId w:val="7"/>
        </w:numPr>
        <w:shd w:val="clear" w:color="auto" w:fill="DAE9F7" w:themeFill="text2" w:themeFillTint="1A"/>
        <w:rPr>
          <w:color w:val="000000" w:themeColor="text1"/>
        </w:rPr>
      </w:pPr>
      <w:r w:rsidRPr="24F8A5F8">
        <w:t>Managers will identify opportunities and allow time (in addition to the 10 days’ professional development allowance), for their researchers to develop their research identity and broader leadership skills and provide appropriate credit and recognition for their endeavours (PCDM4); whilst researchers will seek out, and engage with, opportunities to develop their research identity and broader leadership skills (PCDR5)</w:t>
      </w:r>
    </w:p>
    <w:p w14:paraId="3868793A" w14:textId="79E6CA12" w:rsidR="3F6E47B9" w:rsidRDefault="3F6E47B9" w:rsidP="005E4127">
      <w:pPr>
        <w:pStyle w:val="ListParagraph"/>
        <w:numPr>
          <w:ilvl w:val="0"/>
          <w:numId w:val="7"/>
        </w:numPr>
        <w:shd w:val="clear" w:color="auto" w:fill="DAE9F7" w:themeFill="text2" w:themeFillTint="1A"/>
        <w:rPr>
          <w:color w:val="000000" w:themeColor="text1"/>
        </w:rPr>
      </w:pPr>
      <w:r w:rsidRPr="24F8A5F8">
        <w:t xml:space="preserve">Researchers will explore and consider a range of employment options across different sectors, such as by making use of mentors, careers professionals, training and secondments (PCDR2) </w:t>
      </w:r>
    </w:p>
    <w:p w14:paraId="7908C194" w14:textId="419B20DB" w:rsidR="3F6E47B9" w:rsidRDefault="3F6E47B9" w:rsidP="005E4127">
      <w:pPr>
        <w:pStyle w:val="ListParagraph"/>
        <w:numPr>
          <w:ilvl w:val="0"/>
          <w:numId w:val="7"/>
        </w:numPr>
        <w:shd w:val="clear" w:color="auto" w:fill="DAE9F7" w:themeFill="text2" w:themeFillTint="1A"/>
        <w:rPr>
          <w:color w:val="000000" w:themeColor="text1"/>
        </w:rPr>
      </w:pPr>
      <w:r w:rsidRPr="24F8A5F8">
        <w:t xml:space="preserve">Leeds will recognise that moving between, and working across, employment sectors can bring benefits to research and researchers, and support opportunities for researchers to experience this (PCDI5) </w:t>
      </w:r>
    </w:p>
    <w:p w14:paraId="5813146B" w14:textId="45BBA92A" w:rsidR="3F6E47B9" w:rsidRDefault="3F6E47B9" w:rsidP="005E4127">
      <w:pPr>
        <w:pStyle w:val="ListParagraph"/>
        <w:numPr>
          <w:ilvl w:val="0"/>
          <w:numId w:val="7"/>
        </w:numPr>
        <w:shd w:val="clear" w:color="auto" w:fill="DAE9F7" w:themeFill="text2" w:themeFillTint="1A"/>
        <w:rPr>
          <w:color w:val="000000" w:themeColor="text1"/>
        </w:rPr>
      </w:pPr>
      <w:r w:rsidRPr="24F8A5F8">
        <w:t xml:space="preserve">Researchers must consider opportunities to develop their awareness and experience of the wider research system through, for example, knowledge exchange, policy development, public engagement and commercialisation (PCDR6) </w:t>
      </w:r>
    </w:p>
    <w:p w14:paraId="6D33D0E5" w14:textId="77777777" w:rsidR="0089644E" w:rsidRDefault="0089644E" w:rsidP="0089644E">
      <w:pPr>
        <w:pStyle w:val="Heading1"/>
        <w:pBdr>
          <w:top w:val="single" w:sz="12" w:space="1" w:color="153D63" w:themeColor="text2" w:themeTint="E6"/>
        </w:pBdr>
        <w:rPr>
          <w:rFonts w:eastAsia="Times New Roman"/>
          <w:lang w:eastAsia="en-GB"/>
        </w:rPr>
      </w:pPr>
    </w:p>
    <w:p w14:paraId="3C4C8FE8" w14:textId="3F5DE491" w:rsidR="6395A4C9" w:rsidRDefault="6395A4C9" w:rsidP="009F7FAE">
      <w:pPr>
        <w:pStyle w:val="Heading1"/>
        <w:pBdr>
          <w:top w:val="single" w:sz="12" w:space="1" w:color="153D63" w:themeColor="text2" w:themeTint="E6"/>
        </w:pBdr>
        <w:spacing w:before="0"/>
      </w:pPr>
      <w:r w:rsidRPr="24F8A5F8">
        <w:rPr>
          <w:rFonts w:eastAsia="Times New Roman"/>
          <w:lang w:eastAsia="en-GB"/>
        </w:rPr>
        <w:t>Actions not being progressed:</w:t>
      </w:r>
    </w:p>
    <w:p w14:paraId="2FC22C75" w14:textId="365F1D4F" w:rsidR="6395A4C9" w:rsidRDefault="6395A4C9" w:rsidP="028224EE">
      <w:pPr>
        <w:spacing w:before="120"/>
      </w:pPr>
      <w:r>
        <w:t>Following our review of all proposed actions, a number will not be taken forward at this stage. In each case, non‑progression reflects specific and evidenced reasons</w:t>
      </w:r>
      <w:r w:rsidR="3734FAD1">
        <w:t xml:space="preserve">, </w:t>
      </w:r>
      <w:r>
        <w:t>such as duplication with existing activity, misalignment with current institutional priorities, limited feasibility, or the availability of more effective alternative approaches. These actions have been removed from the implementation plan, with the rationale documented to ensure transparency and to support future decision‑making should circumstances change.</w:t>
      </w:r>
    </w:p>
    <w:p w14:paraId="7004143E" w14:textId="66D20873" w:rsidR="372F039F" w:rsidRPr="009F7FAE" w:rsidRDefault="372F039F" w:rsidP="5CB0DF6C">
      <w:pPr>
        <w:pStyle w:val="ListParagraph"/>
        <w:numPr>
          <w:ilvl w:val="0"/>
          <w:numId w:val="19"/>
        </w:numPr>
        <w:rPr>
          <w:rFonts w:ascii="Aptos" w:hAnsi="Aptos"/>
        </w:rPr>
      </w:pPr>
      <w:r w:rsidRPr="76D8C369">
        <w:rPr>
          <w:rFonts w:ascii="Aptos" w:hAnsi="Aptos"/>
          <w:color w:val="000000" w:themeColor="text1"/>
        </w:rPr>
        <w:t xml:space="preserve">Create a new version of our UoL Guidance on the Employability of Research Staff based on the Concordat and our Fairer Futures Initiative – this action is not progressing until the completion of the </w:t>
      </w:r>
      <w:r w:rsidR="1D825F8B" w:rsidRPr="76D8C369">
        <w:rPr>
          <w:rFonts w:ascii="Aptos" w:hAnsi="Aptos"/>
          <w:color w:val="000000" w:themeColor="text1"/>
        </w:rPr>
        <w:t>C</w:t>
      </w:r>
      <w:r w:rsidRPr="76D8C369">
        <w:rPr>
          <w:rFonts w:ascii="Aptos" w:hAnsi="Aptos"/>
          <w:color w:val="000000" w:themeColor="text1"/>
        </w:rPr>
        <w:t xml:space="preserve">areer </w:t>
      </w:r>
      <w:r w:rsidR="08C2EC98" w:rsidRPr="76D8C369">
        <w:rPr>
          <w:rFonts w:ascii="Aptos" w:hAnsi="Aptos"/>
          <w:color w:val="000000" w:themeColor="text1"/>
        </w:rPr>
        <w:t>P</w:t>
      </w:r>
      <w:r w:rsidRPr="76D8C369">
        <w:rPr>
          <w:rFonts w:ascii="Aptos" w:hAnsi="Aptos"/>
          <w:color w:val="000000" w:themeColor="text1"/>
        </w:rPr>
        <w:t>athways work.</w:t>
      </w:r>
    </w:p>
    <w:p w14:paraId="786A7C76" w14:textId="0E5F52AF" w:rsidR="082A2F32" w:rsidRPr="009F7FAE" w:rsidRDefault="082A2F32" w:rsidP="24F8A5F8">
      <w:pPr>
        <w:pStyle w:val="ListParagraph"/>
        <w:numPr>
          <w:ilvl w:val="0"/>
          <w:numId w:val="19"/>
        </w:numPr>
        <w:rPr>
          <w:rFonts w:ascii="Aptos" w:hAnsi="Aptos"/>
          <w:color w:val="000000" w:themeColor="text1"/>
          <w:szCs w:val="24"/>
        </w:rPr>
      </w:pPr>
      <w:r w:rsidRPr="009F7FAE">
        <w:rPr>
          <w:rFonts w:ascii="Aptos" w:hAnsi="Aptos"/>
          <w:color w:val="000000" w:themeColor="text1"/>
          <w:szCs w:val="24"/>
        </w:rPr>
        <w:t xml:space="preserve">Promote the guidance on Named Researcher and Researcher Co-I status for recognition on funding proposals – UKRI funding calls have updated their eligibility to include 20 new roles that can be </w:t>
      </w:r>
      <w:r w:rsidR="0A07D43C" w:rsidRPr="009F7FAE">
        <w:rPr>
          <w:rFonts w:ascii="Aptos" w:hAnsi="Aptos"/>
          <w:color w:val="000000" w:themeColor="text1"/>
          <w:szCs w:val="24"/>
        </w:rPr>
        <w:t xml:space="preserve">included as applicants or co-applicants on their research grants. Other funders </w:t>
      </w:r>
      <w:r w:rsidR="0022096D">
        <w:rPr>
          <w:rFonts w:ascii="Aptos" w:hAnsi="Aptos"/>
          <w:color w:val="000000" w:themeColor="text1"/>
          <w:szCs w:val="24"/>
        </w:rPr>
        <w:t xml:space="preserve">eligibility </w:t>
      </w:r>
      <w:r w:rsidR="0A07D43C" w:rsidRPr="009F7FAE">
        <w:rPr>
          <w:rFonts w:ascii="Aptos" w:hAnsi="Aptos"/>
          <w:color w:val="000000" w:themeColor="text1"/>
          <w:szCs w:val="24"/>
        </w:rPr>
        <w:t xml:space="preserve">will be </w:t>
      </w:r>
      <w:r w:rsidR="00D2587C">
        <w:rPr>
          <w:rFonts w:ascii="Aptos" w:hAnsi="Aptos"/>
          <w:color w:val="000000" w:themeColor="text1"/>
          <w:szCs w:val="24"/>
        </w:rPr>
        <w:t xml:space="preserve">reviewed </w:t>
      </w:r>
      <w:r w:rsidR="0022096D">
        <w:rPr>
          <w:rFonts w:ascii="Aptos" w:hAnsi="Aptos"/>
          <w:color w:val="000000" w:themeColor="text1"/>
          <w:szCs w:val="24"/>
        </w:rPr>
        <w:t xml:space="preserve">during the internal application </w:t>
      </w:r>
      <w:r w:rsidR="00C84770">
        <w:rPr>
          <w:rFonts w:ascii="Aptos" w:hAnsi="Aptos"/>
          <w:color w:val="000000" w:themeColor="text1"/>
          <w:szCs w:val="24"/>
        </w:rPr>
        <w:t>process.</w:t>
      </w:r>
    </w:p>
    <w:p w14:paraId="0D1154AE" w14:textId="04199322" w:rsidR="24F8A5F8" w:rsidRDefault="65788D5E" w:rsidP="00C84770">
      <w:pPr>
        <w:pStyle w:val="ListParagraph"/>
        <w:numPr>
          <w:ilvl w:val="0"/>
          <w:numId w:val="19"/>
        </w:numPr>
        <w:rPr>
          <w:rStyle w:val="normaltextrun"/>
          <w:rFonts w:ascii="Aptos" w:eastAsia="Calibri" w:hAnsi="Aptos" w:cs="Calibri"/>
          <w:color w:val="000000" w:themeColor="text1"/>
          <w:szCs w:val="24"/>
        </w:rPr>
      </w:pPr>
      <w:r w:rsidRPr="009F7FAE">
        <w:rPr>
          <w:rStyle w:val="normaltextrun"/>
          <w:rFonts w:ascii="Aptos" w:eastAsia="Calibri" w:hAnsi="Aptos" w:cs="Calibri"/>
          <w:color w:val="000000" w:themeColor="text1"/>
          <w:szCs w:val="24"/>
        </w:rPr>
        <w:t>Implement a new Career Planning tool to enable researchers and managers to discuss, plan, record and review the researchers’ 10 days’ activities – this action is not progressing until we have the new HR system in place. This will include access to a career development tool and learning management system.</w:t>
      </w:r>
    </w:p>
    <w:p w14:paraId="25E4910E" w14:textId="77777777" w:rsidR="00882261" w:rsidRPr="00C84770" w:rsidRDefault="00882261" w:rsidP="00882261">
      <w:pPr>
        <w:pStyle w:val="ListParagraph"/>
        <w:ind w:left="360"/>
        <w:rPr>
          <w:rFonts w:ascii="Aptos" w:eastAsia="Calibri" w:hAnsi="Aptos" w:cs="Calibri"/>
          <w:color w:val="000000" w:themeColor="text1"/>
          <w:szCs w:val="24"/>
        </w:rPr>
      </w:pPr>
    </w:p>
    <w:p w14:paraId="41B1B8E6" w14:textId="0949F906" w:rsidR="24F8A5F8" w:rsidRPr="00C84770" w:rsidRDefault="62DC3754" w:rsidP="00C84770">
      <w:pPr>
        <w:pStyle w:val="Heading2"/>
        <w:rPr>
          <w:rFonts w:eastAsia="Calibri"/>
          <w:color w:val="153D63" w:themeColor="text2" w:themeTint="E6"/>
        </w:rPr>
      </w:pPr>
      <w:r w:rsidRPr="00C84770">
        <w:rPr>
          <w:rFonts w:eastAsia="Calibri"/>
          <w:color w:val="153D63" w:themeColor="text2" w:themeTint="E6"/>
        </w:rPr>
        <w:t>Abbreviations:</w:t>
      </w:r>
    </w:p>
    <w:p w14:paraId="78035BBA" w14:textId="553A4E27" w:rsidR="24F8A5F8" w:rsidRPr="00C84770" w:rsidRDefault="62DC3754" w:rsidP="028224EE">
      <w:pPr>
        <w:pStyle w:val="ListParagraph"/>
        <w:numPr>
          <w:ilvl w:val="0"/>
          <w:numId w:val="4"/>
        </w:numPr>
        <w:spacing w:after="0" w:line="240" w:lineRule="auto"/>
        <w:rPr>
          <w:rFonts w:ascii="Aptos" w:eastAsia="Calibri" w:hAnsi="Aptos" w:cs="Calibri"/>
          <w:color w:val="000000" w:themeColor="text1"/>
        </w:rPr>
      </w:pPr>
      <w:r w:rsidRPr="028224EE">
        <w:rPr>
          <w:rFonts w:ascii="Aptos" w:eastAsia="Calibri" w:hAnsi="Aptos" w:cs="Calibri"/>
          <w:color w:val="000000" w:themeColor="text1"/>
        </w:rPr>
        <w:t>RD</w:t>
      </w:r>
      <w:r w:rsidR="49DB2590" w:rsidRPr="028224EE">
        <w:rPr>
          <w:rFonts w:ascii="Aptos" w:eastAsia="Calibri" w:hAnsi="Aptos" w:cs="Calibri"/>
          <w:color w:val="000000" w:themeColor="text1"/>
        </w:rPr>
        <w:t>R</w:t>
      </w:r>
      <w:r w:rsidRPr="028224EE">
        <w:rPr>
          <w:rFonts w:ascii="Aptos" w:eastAsia="Calibri" w:hAnsi="Aptos" w:cs="Calibri"/>
          <w:color w:val="000000" w:themeColor="text1"/>
        </w:rPr>
        <w:t xml:space="preserve">C - Researcher Development and </w:t>
      </w:r>
      <w:r w:rsidR="251D4E18" w:rsidRPr="028224EE">
        <w:rPr>
          <w:rFonts w:ascii="Aptos" w:eastAsia="Calibri" w:hAnsi="Aptos" w:cs="Calibri"/>
          <w:color w:val="000000" w:themeColor="text1"/>
        </w:rPr>
        <w:t xml:space="preserve">Research </w:t>
      </w:r>
      <w:r w:rsidRPr="028224EE">
        <w:rPr>
          <w:rFonts w:ascii="Aptos" w:eastAsia="Calibri" w:hAnsi="Aptos" w:cs="Calibri"/>
          <w:color w:val="000000" w:themeColor="text1"/>
        </w:rPr>
        <w:t>Culture team</w:t>
      </w:r>
    </w:p>
    <w:p w14:paraId="52E4D82E" w14:textId="1446AA63"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RDSG - Researcher Development Steering Group</w:t>
      </w:r>
    </w:p>
    <w:p w14:paraId="1AF4CB8F" w14:textId="66E0EF43"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lastRenderedPageBreak/>
        <w:t>RCSG - Research Culture Steering Group</w:t>
      </w:r>
    </w:p>
    <w:p w14:paraId="15435C92" w14:textId="6300D424"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OD&amp;PL - Organisational Development and Professional Learning</w:t>
      </w:r>
    </w:p>
    <w:p w14:paraId="7B2275F1" w14:textId="03822226"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RIB - Research and Innovation Board</w:t>
      </w:r>
    </w:p>
    <w:p w14:paraId="77825C0E" w14:textId="70DBD073"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RC – Research Culture</w:t>
      </w:r>
    </w:p>
    <w:p w14:paraId="527495D2" w14:textId="300C4069" w:rsidR="24F8A5F8" w:rsidRPr="00C84770" w:rsidRDefault="62DC3754">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 xml:space="preserve">PCD – </w:t>
      </w:r>
      <w:r w:rsidR="00C84770" w:rsidRPr="00C84770">
        <w:rPr>
          <w:rFonts w:ascii="Aptos" w:eastAsia="Calibri" w:hAnsi="Aptos" w:cs="Calibri"/>
          <w:color w:val="000000" w:themeColor="text1"/>
          <w:szCs w:val="24"/>
        </w:rPr>
        <w:t xml:space="preserve">People </w:t>
      </w:r>
      <w:r w:rsidRPr="00C84770">
        <w:rPr>
          <w:rFonts w:ascii="Aptos" w:eastAsia="Calibri" w:hAnsi="Aptos" w:cs="Calibri"/>
          <w:color w:val="000000" w:themeColor="text1"/>
          <w:szCs w:val="24"/>
        </w:rPr>
        <w:t>and Culture Directorate</w:t>
      </w:r>
    </w:p>
    <w:p w14:paraId="5053882A" w14:textId="44A24FF9"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RIS – Research and Innovation Service</w:t>
      </w:r>
    </w:p>
    <w:p w14:paraId="04B4D346" w14:textId="3D548A21"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EIU – Equality and Inclusion Unit</w:t>
      </w:r>
    </w:p>
    <w:p w14:paraId="62E8FE98" w14:textId="22AD2C6B" w:rsidR="24F8A5F8" w:rsidRPr="00C84770" w:rsidRDefault="62DC3754" w:rsidP="106549D5">
      <w:pPr>
        <w:pStyle w:val="ListParagraph"/>
        <w:numPr>
          <w:ilvl w:val="0"/>
          <w:numId w:val="4"/>
        </w:numPr>
        <w:spacing w:after="0" w:line="240" w:lineRule="auto"/>
        <w:rPr>
          <w:rFonts w:ascii="Aptos" w:eastAsia="Calibri" w:hAnsi="Aptos" w:cs="Calibri"/>
          <w:color w:val="000000" w:themeColor="text1"/>
          <w:szCs w:val="24"/>
        </w:rPr>
      </w:pPr>
      <w:r w:rsidRPr="00C84770">
        <w:rPr>
          <w:rFonts w:ascii="Aptos" w:eastAsia="Calibri" w:hAnsi="Aptos" w:cs="Calibri"/>
          <w:color w:val="000000" w:themeColor="text1"/>
          <w:szCs w:val="24"/>
        </w:rPr>
        <w:t>SRDS – Staff Review and Development Scheme</w:t>
      </w:r>
    </w:p>
    <w:p w14:paraId="57688B6E" w14:textId="0976029C" w:rsidR="24F8A5F8" w:rsidRDefault="24F8A5F8" w:rsidP="24F8A5F8">
      <w:pPr>
        <w:rPr>
          <w:rFonts w:ascii="Aptos" w:hAnsi="Aptos"/>
          <w:b/>
          <w:bCs/>
        </w:rPr>
      </w:pPr>
    </w:p>
    <w:p w14:paraId="411A531C" w14:textId="06D2CB37" w:rsidR="003F1E9A" w:rsidRPr="003F1E9A" w:rsidRDefault="003F1E9A" w:rsidP="003F1E9A">
      <w:pPr>
        <w:spacing w:after="0"/>
        <w:rPr>
          <w:rFonts w:ascii="Aptos" w:hAnsi="Aptos"/>
          <w:b/>
          <w:bCs/>
          <w:color w:val="153D63" w:themeColor="text2" w:themeTint="E6"/>
          <w:sz w:val="22"/>
        </w:rPr>
      </w:pPr>
      <w:r w:rsidRPr="003F1E9A">
        <w:rPr>
          <w:rFonts w:ascii="Aptos" w:hAnsi="Aptos"/>
          <w:b/>
          <w:bCs/>
          <w:color w:val="153D63" w:themeColor="text2" w:themeTint="E6"/>
          <w:sz w:val="22"/>
        </w:rPr>
        <w:t>Action plan prepared by the Researcher Development and Culture Team, OD&amp;PL</w:t>
      </w:r>
    </w:p>
    <w:p w14:paraId="7C453CAA" w14:textId="54B32C92" w:rsidR="003F1E9A" w:rsidRPr="003F1E9A" w:rsidRDefault="003F1E9A" w:rsidP="003F1E9A">
      <w:pPr>
        <w:spacing w:after="0"/>
        <w:rPr>
          <w:rFonts w:ascii="Aptos" w:hAnsi="Aptos"/>
          <w:b/>
          <w:bCs/>
          <w:color w:val="153D63" w:themeColor="text2" w:themeTint="E6"/>
          <w:sz w:val="22"/>
        </w:rPr>
      </w:pPr>
      <w:r w:rsidRPr="003F1E9A">
        <w:rPr>
          <w:rFonts w:ascii="Aptos" w:hAnsi="Aptos"/>
          <w:b/>
          <w:bCs/>
          <w:color w:val="153D63" w:themeColor="text2" w:themeTint="E6"/>
          <w:sz w:val="22"/>
        </w:rPr>
        <w:t>Contact: Dr Emma Spary</w:t>
      </w:r>
      <w:r w:rsidR="00A20407">
        <w:rPr>
          <w:rFonts w:ascii="Aptos" w:hAnsi="Aptos"/>
          <w:b/>
          <w:bCs/>
          <w:color w:val="153D63" w:themeColor="text2" w:themeTint="E6"/>
          <w:sz w:val="22"/>
        </w:rPr>
        <w:t xml:space="preserve"> </w:t>
      </w:r>
    </w:p>
    <w:p w14:paraId="7379FA6E" w14:textId="77777777" w:rsidR="003F1E9A" w:rsidRPr="00C84770" w:rsidRDefault="003F1E9A" w:rsidP="24F8A5F8">
      <w:pPr>
        <w:rPr>
          <w:rFonts w:ascii="Aptos" w:hAnsi="Aptos"/>
          <w:b/>
          <w:bCs/>
        </w:rPr>
      </w:pPr>
    </w:p>
    <w:sectPr w:rsidR="003F1E9A" w:rsidRPr="00C84770">
      <w:headerReference w:type="default" r:id="rId11"/>
      <w:footerReference w:type="default" r:id="rId12"/>
      <w:pgSz w:w="11906" w:h="16838"/>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1CFE" w14:textId="77777777" w:rsidR="000F7CEE" w:rsidRDefault="000F7CEE">
      <w:pPr>
        <w:spacing w:after="0" w:line="240" w:lineRule="auto"/>
      </w:pPr>
      <w:r>
        <w:separator/>
      </w:r>
    </w:p>
  </w:endnote>
  <w:endnote w:type="continuationSeparator" w:id="0">
    <w:p w14:paraId="372000C8" w14:textId="77777777" w:rsidR="000F7CEE" w:rsidRDefault="000F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A837E8" w14:paraId="5CC889DF" w14:textId="77777777" w:rsidTr="22A837E8">
      <w:trPr>
        <w:trHeight w:val="300"/>
      </w:trPr>
      <w:tc>
        <w:tcPr>
          <w:tcW w:w="3005" w:type="dxa"/>
        </w:tcPr>
        <w:p w14:paraId="647C4E08" w14:textId="3C8337AA" w:rsidR="22A837E8" w:rsidRDefault="22A837E8" w:rsidP="22A837E8">
          <w:pPr>
            <w:pStyle w:val="Header"/>
            <w:ind w:left="-115"/>
          </w:pPr>
        </w:p>
      </w:tc>
      <w:tc>
        <w:tcPr>
          <w:tcW w:w="3005" w:type="dxa"/>
        </w:tcPr>
        <w:p w14:paraId="714F5A8A" w14:textId="7447C7DE" w:rsidR="22A837E8" w:rsidRDefault="22A837E8" w:rsidP="22A837E8">
          <w:pPr>
            <w:pStyle w:val="Header"/>
            <w:jc w:val="center"/>
          </w:pPr>
        </w:p>
      </w:tc>
      <w:tc>
        <w:tcPr>
          <w:tcW w:w="3005" w:type="dxa"/>
        </w:tcPr>
        <w:p w14:paraId="4618FD39" w14:textId="0F8CF328" w:rsidR="22A837E8" w:rsidRDefault="22A837E8" w:rsidP="22A837E8">
          <w:pPr>
            <w:pStyle w:val="Header"/>
            <w:ind w:right="-115"/>
            <w:jc w:val="right"/>
          </w:pPr>
        </w:p>
      </w:tc>
    </w:tr>
  </w:tbl>
  <w:p w14:paraId="4C855B02" w14:textId="27CA3254" w:rsidR="22A837E8" w:rsidRDefault="22A837E8" w:rsidP="22A83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9424" w14:textId="77777777" w:rsidR="000F7CEE" w:rsidRDefault="000F7CEE">
      <w:pPr>
        <w:spacing w:after="0" w:line="240" w:lineRule="auto"/>
      </w:pPr>
      <w:r>
        <w:separator/>
      </w:r>
    </w:p>
  </w:footnote>
  <w:footnote w:type="continuationSeparator" w:id="0">
    <w:p w14:paraId="59D66F03" w14:textId="77777777" w:rsidR="000F7CEE" w:rsidRDefault="000F7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2A837E8" w14:paraId="7D6C8D93" w14:textId="77777777" w:rsidTr="22A837E8">
      <w:trPr>
        <w:trHeight w:val="300"/>
      </w:trPr>
      <w:tc>
        <w:tcPr>
          <w:tcW w:w="3005" w:type="dxa"/>
        </w:tcPr>
        <w:p w14:paraId="2CBEBCE7" w14:textId="7E9842D0" w:rsidR="22A837E8" w:rsidRDefault="22A837E8" w:rsidP="22A837E8">
          <w:pPr>
            <w:pStyle w:val="Header"/>
            <w:ind w:left="-115"/>
            <w:rPr>
              <w:rFonts w:ascii="Times New Roman" w:eastAsia="Times New Roman" w:hAnsi="Times New Roman" w:cs="Times New Roman"/>
              <w:color w:val="000000" w:themeColor="text1"/>
            </w:rPr>
          </w:pPr>
        </w:p>
      </w:tc>
      <w:tc>
        <w:tcPr>
          <w:tcW w:w="3005" w:type="dxa"/>
        </w:tcPr>
        <w:p w14:paraId="2A873FAC" w14:textId="60973381" w:rsidR="22A837E8" w:rsidRDefault="22A837E8" w:rsidP="22A837E8">
          <w:pPr>
            <w:pStyle w:val="Header"/>
            <w:jc w:val="center"/>
          </w:pPr>
        </w:p>
      </w:tc>
      <w:tc>
        <w:tcPr>
          <w:tcW w:w="3005" w:type="dxa"/>
        </w:tcPr>
        <w:p w14:paraId="01F23D8F" w14:textId="264AA3A6" w:rsidR="22A837E8" w:rsidRDefault="22A837E8" w:rsidP="22A837E8">
          <w:pPr>
            <w:pStyle w:val="Header"/>
            <w:ind w:right="-115"/>
            <w:jc w:val="right"/>
          </w:pPr>
        </w:p>
      </w:tc>
    </w:tr>
  </w:tbl>
  <w:p w14:paraId="10581E0C" w14:textId="0FE3AA79" w:rsidR="22A837E8" w:rsidRDefault="22A837E8" w:rsidP="22A83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4D1B"/>
    <w:multiLevelType w:val="hybridMultilevel"/>
    <w:tmpl w:val="F6DE689E"/>
    <w:lvl w:ilvl="0" w:tplc="D6365E18">
      <w:start w:val="1"/>
      <w:numFmt w:val="bullet"/>
      <w:lvlText w:val=""/>
      <w:lvlJc w:val="left"/>
      <w:pPr>
        <w:ind w:left="720" w:hanging="360"/>
      </w:pPr>
      <w:rPr>
        <w:rFonts w:ascii="Symbol" w:hAnsi="Symbol" w:hint="default"/>
      </w:rPr>
    </w:lvl>
    <w:lvl w:ilvl="1" w:tplc="5434BA8C">
      <w:start w:val="1"/>
      <w:numFmt w:val="bullet"/>
      <w:lvlText w:val="o"/>
      <w:lvlJc w:val="left"/>
      <w:pPr>
        <w:ind w:left="1440" w:hanging="360"/>
      </w:pPr>
      <w:rPr>
        <w:rFonts w:ascii="Courier New" w:hAnsi="Courier New" w:hint="default"/>
      </w:rPr>
    </w:lvl>
    <w:lvl w:ilvl="2" w:tplc="FB0EE03A">
      <w:start w:val="1"/>
      <w:numFmt w:val="bullet"/>
      <w:lvlText w:val=""/>
      <w:lvlJc w:val="left"/>
      <w:pPr>
        <w:ind w:left="2160" w:hanging="360"/>
      </w:pPr>
      <w:rPr>
        <w:rFonts w:ascii="Wingdings" w:hAnsi="Wingdings" w:hint="default"/>
      </w:rPr>
    </w:lvl>
    <w:lvl w:ilvl="3" w:tplc="BB16B374">
      <w:start w:val="1"/>
      <w:numFmt w:val="bullet"/>
      <w:lvlText w:val=""/>
      <w:lvlJc w:val="left"/>
      <w:pPr>
        <w:ind w:left="2880" w:hanging="360"/>
      </w:pPr>
      <w:rPr>
        <w:rFonts w:ascii="Symbol" w:hAnsi="Symbol" w:hint="default"/>
      </w:rPr>
    </w:lvl>
    <w:lvl w:ilvl="4" w:tplc="EE1656D6">
      <w:start w:val="1"/>
      <w:numFmt w:val="bullet"/>
      <w:lvlText w:val="o"/>
      <w:lvlJc w:val="left"/>
      <w:pPr>
        <w:ind w:left="3600" w:hanging="360"/>
      </w:pPr>
      <w:rPr>
        <w:rFonts w:ascii="Courier New" w:hAnsi="Courier New" w:hint="default"/>
      </w:rPr>
    </w:lvl>
    <w:lvl w:ilvl="5" w:tplc="A198F492">
      <w:start w:val="1"/>
      <w:numFmt w:val="bullet"/>
      <w:lvlText w:val=""/>
      <w:lvlJc w:val="left"/>
      <w:pPr>
        <w:ind w:left="4320" w:hanging="360"/>
      </w:pPr>
      <w:rPr>
        <w:rFonts w:ascii="Wingdings" w:hAnsi="Wingdings" w:hint="default"/>
      </w:rPr>
    </w:lvl>
    <w:lvl w:ilvl="6" w:tplc="24CE6168">
      <w:start w:val="1"/>
      <w:numFmt w:val="bullet"/>
      <w:lvlText w:val=""/>
      <w:lvlJc w:val="left"/>
      <w:pPr>
        <w:ind w:left="5040" w:hanging="360"/>
      </w:pPr>
      <w:rPr>
        <w:rFonts w:ascii="Symbol" w:hAnsi="Symbol" w:hint="default"/>
      </w:rPr>
    </w:lvl>
    <w:lvl w:ilvl="7" w:tplc="694014F0">
      <w:start w:val="1"/>
      <w:numFmt w:val="bullet"/>
      <w:lvlText w:val="o"/>
      <w:lvlJc w:val="left"/>
      <w:pPr>
        <w:ind w:left="5760" w:hanging="360"/>
      </w:pPr>
      <w:rPr>
        <w:rFonts w:ascii="Courier New" w:hAnsi="Courier New" w:hint="default"/>
      </w:rPr>
    </w:lvl>
    <w:lvl w:ilvl="8" w:tplc="AF3C390E">
      <w:start w:val="1"/>
      <w:numFmt w:val="bullet"/>
      <w:lvlText w:val=""/>
      <w:lvlJc w:val="left"/>
      <w:pPr>
        <w:ind w:left="6480" w:hanging="360"/>
      </w:pPr>
      <w:rPr>
        <w:rFonts w:ascii="Wingdings" w:hAnsi="Wingdings" w:hint="default"/>
      </w:rPr>
    </w:lvl>
  </w:abstractNum>
  <w:abstractNum w:abstractNumId="1" w15:restartNumberingAfterBreak="0">
    <w:nsid w:val="0BC2767D"/>
    <w:multiLevelType w:val="hybridMultilevel"/>
    <w:tmpl w:val="F856ACDE"/>
    <w:lvl w:ilvl="0" w:tplc="729C2656">
      <w:start w:val="1"/>
      <w:numFmt w:val="bullet"/>
      <w:lvlText w:val=""/>
      <w:lvlJc w:val="left"/>
      <w:pPr>
        <w:ind w:left="360" w:hanging="360"/>
      </w:pPr>
      <w:rPr>
        <w:rFonts w:ascii="Symbol" w:hAnsi="Symbol" w:hint="default"/>
      </w:rPr>
    </w:lvl>
    <w:lvl w:ilvl="1" w:tplc="014888E6">
      <w:start w:val="1"/>
      <w:numFmt w:val="bullet"/>
      <w:lvlText w:val="o"/>
      <w:lvlJc w:val="left"/>
      <w:pPr>
        <w:ind w:left="1080" w:hanging="360"/>
      </w:pPr>
      <w:rPr>
        <w:rFonts w:ascii="Courier New" w:hAnsi="Courier New" w:hint="default"/>
      </w:rPr>
    </w:lvl>
    <w:lvl w:ilvl="2" w:tplc="41E45100">
      <w:start w:val="1"/>
      <w:numFmt w:val="bullet"/>
      <w:lvlText w:val=""/>
      <w:lvlJc w:val="left"/>
      <w:pPr>
        <w:ind w:left="1800" w:hanging="360"/>
      </w:pPr>
      <w:rPr>
        <w:rFonts w:ascii="Wingdings" w:hAnsi="Wingdings" w:hint="default"/>
      </w:rPr>
    </w:lvl>
    <w:lvl w:ilvl="3" w:tplc="FF6A30D4">
      <w:start w:val="1"/>
      <w:numFmt w:val="bullet"/>
      <w:lvlText w:val=""/>
      <w:lvlJc w:val="left"/>
      <w:pPr>
        <w:ind w:left="2520" w:hanging="360"/>
      </w:pPr>
      <w:rPr>
        <w:rFonts w:ascii="Symbol" w:hAnsi="Symbol" w:hint="default"/>
      </w:rPr>
    </w:lvl>
    <w:lvl w:ilvl="4" w:tplc="A3E86B10">
      <w:start w:val="1"/>
      <w:numFmt w:val="bullet"/>
      <w:lvlText w:val="o"/>
      <w:lvlJc w:val="left"/>
      <w:pPr>
        <w:ind w:left="3240" w:hanging="360"/>
      </w:pPr>
      <w:rPr>
        <w:rFonts w:ascii="Courier New" w:hAnsi="Courier New" w:hint="default"/>
      </w:rPr>
    </w:lvl>
    <w:lvl w:ilvl="5" w:tplc="B8B0E6D8">
      <w:start w:val="1"/>
      <w:numFmt w:val="bullet"/>
      <w:lvlText w:val=""/>
      <w:lvlJc w:val="left"/>
      <w:pPr>
        <w:ind w:left="3960" w:hanging="360"/>
      </w:pPr>
      <w:rPr>
        <w:rFonts w:ascii="Wingdings" w:hAnsi="Wingdings" w:hint="default"/>
      </w:rPr>
    </w:lvl>
    <w:lvl w:ilvl="6" w:tplc="6B785FE4">
      <w:start w:val="1"/>
      <w:numFmt w:val="bullet"/>
      <w:lvlText w:val=""/>
      <w:lvlJc w:val="left"/>
      <w:pPr>
        <w:ind w:left="4680" w:hanging="360"/>
      </w:pPr>
      <w:rPr>
        <w:rFonts w:ascii="Symbol" w:hAnsi="Symbol" w:hint="default"/>
      </w:rPr>
    </w:lvl>
    <w:lvl w:ilvl="7" w:tplc="22C8B1C0">
      <w:start w:val="1"/>
      <w:numFmt w:val="bullet"/>
      <w:lvlText w:val="o"/>
      <w:lvlJc w:val="left"/>
      <w:pPr>
        <w:ind w:left="5400" w:hanging="360"/>
      </w:pPr>
      <w:rPr>
        <w:rFonts w:ascii="Courier New" w:hAnsi="Courier New" w:hint="default"/>
      </w:rPr>
    </w:lvl>
    <w:lvl w:ilvl="8" w:tplc="B6CE99E2">
      <w:start w:val="1"/>
      <w:numFmt w:val="bullet"/>
      <w:lvlText w:val=""/>
      <w:lvlJc w:val="left"/>
      <w:pPr>
        <w:ind w:left="6120" w:hanging="360"/>
      </w:pPr>
      <w:rPr>
        <w:rFonts w:ascii="Wingdings" w:hAnsi="Wingdings" w:hint="default"/>
      </w:rPr>
    </w:lvl>
  </w:abstractNum>
  <w:abstractNum w:abstractNumId="2" w15:restartNumberingAfterBreak="0">
    <w:nsid w:val="0C7FEE7B"/>
    <w:multiLevelType w:val="multilevel"/>
    <w:tmpl w:val="B650C95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26FA2"/>
    <w:multiLevelType w:val="hybridMultilevel"/>
    <w:tmpl w:val="293C2B56"/>
    <w:lvl w:ilvl="0" w:tplc="090C69DC">
      <w:start w:val="1"/>
      <w:numFmt w:val="bullet"/>
      <w:lvlText w:val=""/>
      <w:lvlJc w:val="left"/>
      <w:pPr>
        <w:ind w:left="360" w:hanging="360"/>
      </w:pPr>
      <w:rPr>
        <w:rFonts w:ascii="Wingdings" w:hAnsi="Wingdings" w:hint="default"/>
      </w:rPr>
    </w:lvl>
    <w:lvl w:ilvl="1" w:tplc="9A8C7EBE">
      <w:start w:val="1"/>
      <w:numFmt w:val="bullet"/>
      <w:lvlText w:val="o"/>
      <w:lvlJc w:val="left"/>
      <w:pPr>
        <w:ind w:left="1080" w:hanging="360"/>
      </w:pPr>
      <w:rPr>
        <w:rFonts w:ascii="Courier New" w:hAnsi="Courier New" w:hint="default"/>
      </w:rPr>
    </w:lvl>
    <w:lvl w:ilvl="2" w:tplc="E348F534">
      <w:start w:val="1"/>
      <w:numFmt w:val="bullet"/>
      <w:lvlText w:val=""/>
      <w:lvlJc w:val="left"/>
      <w:pPr>
        <w:ind w:left="1800" w:hanging="360"/>
      </w:pPr>
      <w:rPr>
        <w:rFonts w:ascii="Wingdings" w:hAnsi="Wingdings" w:hint="default"/>
      </w:rPr>
    </w:lvl>
    <w:lvl w:ilvl="3" w:tplc="6B24B1F8">
      <w:start w:val="1"/>
      <w:numFmt w:val="bullet"/>
      <w:lvlText w:val=""/>
      <w:lvlJc w:val="left"/>
      <w:pPr>
        <w:ind w:left="2520" w:hanging="360"/>
      </w:pPr>
      <w:rPr>
        <w:rFonts w:ascii="Symbol" w:hAnsi="Symbol" w:hint="default"/>
      </w:rPr>
    </w:lvl>
    <w:lvl w:ilvl="4" w:tplc="F514C922">
      <w:start w:val="1"/>
      <w:numFmt w:val="bullet"/>
      <w:lvlText w:val="o"/>
      <w:lvlJc w:val="left"/>
      <w:pPr>
        <w:ind w:left="3240" w:hanging="360"/>
      </w:pPr>
      <w:rPr>
        <w:rFonts w:ascii="Courier New" w:hAnsi="Courier New" w:hint="default"/>
      </w:rPr>
    </w:lvl>
    <w:lvl w:ilvl="5" w:tplc="B770B860">
      <w:start w:val="1"/>
      <w:numFmt w:val="bullet"/>
      <w:lvlText w:val=""/>
      <w:lvlJc w:val="left"/>
      <w:pPr>
        <w:ind w:left="3960" w:hanging="360"/>
      </w:pPr>
      <w:rPr>
        <w:rFonts w:ascii="Wingdings" w:hAnsi="Wingdings" w:hint="default"/>
      </w:rPr>
    </w:lvl>
    <w:lvl w:ilvl="6" w:tplc="DDAA5FFE">
      <w:start w:val="1"/>
      <w:numFmt w:val="bullet"/>
      <w:lvlText w:val=""/>
      <w:lvlJc w:val="left"/>
      <w:pPr>
        <w:ind w:left="4680" w:hanging="360"/>
      </w:pPr>
      <w:rPr>
        <w:rFonts w:ascii="Symbol" w:hAnsi="Symbol" w:hint="default"/>
      </w:rPr>
    </w:lvl>
    <w:lvl w:ilvl="7" w:tplc="EF6A733C">
      <w:start w:val="1"/>
      <w:numFmt w:val="bullet"/>
      <w:lvlText w:val="o"/>
      <w:lvlJc w:val="left"/>
      <w:pPr>
        <w:ind w:left="5400" w:hanging="360"/>
      </w:pPr>
      <w:rPr>
        <w:rFonts w:ascii="Courier New" w:hAnsi="Courier New" w:hint="default"/>
      </w:rPr>
    </w:lvl>
    <w:lvl w:ilvl="8" w:tplc="2FE2621A">
      <w:start w:val="1"/>
      <w:numFmt w:val="bullet"/>
      <w:lvlText w:val=""/>
      <w:lvlJc w:val="left"/>
      <w:pPr>
        <w:ind w:left="6120" w:hanging="360"/>
      </w:pPr>
      <w:rPr>
        <w:rFonts w:ascii="Wingdings" w:hAnsi="Wingdings" w:hint="default"/>
      </w:rPr>
    </w:lvl>
  </w:abstractNum>
  <w:abstractNum w:abstractNumId="4" w15:restartNumberingAfterBreak="0">
    <w:nsid w:val="111E749C"/>
    <w:multiLevelType w:val="multilevel"/>
    <w:tmpl w:val="6178A0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26FEECF"/>
    <w:multiLevelType w:val="hybridMultilevel"/>
    <w:tmpl w:val="4B1A825C"/>
    <w:lvl w:ilvl="0" w:tplc="6C1288A4">
      <w:start w:val="1"/>
      <w:numFmt w:val="decimal"/>
      <w:lvlText w:val="%1."/>
      <w:lvlJc w:val="left"/>
      <w:pPr>
        <w:ind w:left="360" w:hanging="360"/>
      </w:pPr>
    </w:lvl>
    <w:lvl w:ilvl="1" w:tplc="954CFE5A">
      <w:start w:val="1"/>
      <w:numFmt w:val="lowerLetter"/>
      <w:lvlText w:val="%2."/>
      <w:lvlJc w:val="left"/>
      <w:pPr>
        <w:ind w:left="1080" w:hanging="360"/>
      </w:pPr>
    </w:lvl>
    <w:lvl w:ilvl="2" w:tplc="82E041DC">
      <w:start w:val="1"/>
      <w:numFmt w:val="lowerRoman"/>
      <w:lvlText w:val="%3."/>
      <w:lvlJc w:val="right"/>
      <w:pPr>
        <w:ind w:left="1800" w:hanging="180"/>
      </w:pPr>
    </w:lvl>
    <w:lvl w:ilvl="3" w:tplc="F52061B8">
      <w:start w:val="1"/>
      <w:numFmt w:val="decimal"/>
      <w:lvlText w:val="%4."/>
      <w:lvlJc w:val="left"/>
      <w:pPr>
        <w:ind w:left="2520" w:hanging="360"/>
      </w:pPr>
    </w:lvl>
    <w:lvl w:ilvl="4" w:tplc="62F0E586">
      <w:start w:val="1"/>
      <w:numFmt w:val="lowerLetter"/>
      <w:lvlText w:val="%5."/>
      <w:lvlJc w:val="left"/>
      <w:pPr>
        <w:ind w:left="3240" w:hanging="360"/>
      </w:pPr>
    </w:lvl>
    <w:lvl w:ilvl="5" w:tplc="D4CC3658">
      <w:start w:val="1"/>
      <w:numFmt w:val="lowerRoman"/>
      <w:lvlText w:val="%6."/>
      <w:lvlJc w:val="right"/>
      <w:pPr>
        <w:ind w:left="3960" w:hanging="180"/>
      </w:pPr>
    </w:lvl>
    <w:lvl w:ilvl="6" w:tplc="3C7499CA">
      <w:start w:val="1"/>
      <w:numFmt w:val="decimal"/>
      <w:lvlText w:val="%7."/>
      <w:lvlJc w:val="left"/>
      <w:pPr>
        <w:ind w:left="4680" w:hanging="360"/>
      </w:pPr>
    </w:lvl>
    <w:lvl w:ilvl="7" w:tplc="857A09A8">
      <w:start w:val="1"/>
      <w:numFmt w:val="lowerLetter"/>
      <w:lvlText w:val="%8."/>
      <w:lvlJc w:val="left"/>
      <w:pPr>
        <w:ind w:left="5400" w:hanging="360"/>
      </w:pPr>
    </w:lvl>
    <w:lvl w:ilvl="8" w:tplc="ED0434D2">
      <w:start w:val="1"/>
      <w:numFmt w:val="lowerRoman"/>
      <w:lvlText w:val="%9."/>
      <w:lvlJc w:val="right"/>
      <w:pPr>
        <w:ind w:left="6120" w:hanging="180"/>
      </w:pPr>
    </w:lvl>
  </w:abstractNum>
  <w:abstractNum w:abstractNumId="6" w15:restartNumberingAfterBreak="0">
    <w:nsid w:val="1805FA95"/>
    <w:multiLevelType w:val="multilevel"/>
    <w:tmpl w:val="9446B90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7" w15:restartNumberingAfterBreak="0">
    <w:nsid w:val="2625A124"/>
    <w:multiLevelType w:val="multilevel"/>
    <w:tmpl w:val="313E5CE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2781C8C8"/>
    <w:multiLevelType w:val="hybridMultilevel"/>
    <w:tmpl w:val="5AAA8E44"/>
    <w:lvl w:ilvl="0" w:tplc="6700042E">
      <w:start w:val="1"/>
      <w:numFmt w:val="bullet"/>
      <w:lvlText w:val=""/>
      <w:lvlJc w:val="left"/>
      <w:pPr>
        <w:ind w:left="720" w:hanging="360"/>
      </w:pPr>
      <w:rPr>
        <w:rFonts w:ascii="Wingdings" w:hAnsi="Wingdings" w:hint="default"/>
      </w:rPr>
    </w:lvl>
    <w:lvl w:ilvl="1" w:tplc="C2F279B0">
      <w:start w:val="1"/>
      <w:numFmt w:val="bullet"/>
      <w:lvlText w:val="o"/>
      <w:lvlJc w:val="left"/>
      <w:pPr>
        <w:ind w:left="1440" w:hanging="360"/>
      </w:pPr>
      <w:rPr>
        <w:rFonts w:ascii="Courier New" w:hAnsi="Courier New" w:hint="default"/>
      </w:rPr>
    </w:lvl>
    <w:lvl w:ilvl="2" w:tplc="B464EC28">
      <w:start w:val="1"/>
      <w:numFmt w:val="bullet"/>
      <w:lvlText w:val=""/>
      <w:lvlJc w:val="left"/>
      <w:pPr>
        <w:ind w:left="2160" w:hanging="360"/>
      </w:pPr>
      <w:rPr>
        <w:rFonts w:ascii="Wingdings" w:hAnsi="Wingdings" w:hint="default"/>
      </w:rPr>
    </w:lvl>
    <w:lvl w:ilvl="3" w:tplc="7FCAEEB6">
      <w:start w:val="1"/>
      <w:numFmt w:val="bullet"/>
      <w:lvlText w:val=""/>
      <w:lvlJc w:val="left"/>
      <w:pPr>
        <w:ind w:left="2880" w:hanging="360"/>
      </w:pPr>
      <w:rPr>
        <w:rFonts w:ascii="Symbol" w:hAnsi="Symbol" w:hint="default"/>
      </w:rPr>
    </w:lvl>
    <w:lvl w:ilvl="4" w:tplc="559A5B78">
      <w:start w:val="1"/>
      <w:numFmt w:val="bullet"/>
      <w:lvlText w:val="o"/>
      <w:lvlJc w:val="left"/>
      <w:pPr>
        <w:ind w:left="3600" w:hanging="360"/>
      </w:pPr>
      <w:rPr>
        <w:rFonts w:ascii="Courier New" w:hAnsi="Courier New" w:hint="default"/>
      </w:rPr>
    </w:lvl>
    <w:lvl w:ilvl="5" w:tplc="A1907E3E">
      <w:start w:val="1"/>
      <w:numFmt w:val="bullet"/>
      <w:lvlText w:val=""/>
      <w:lvlJc w:val="left"/>
      <w:pPr>
        <w:ind w:left="4320" w:hanging="360"/>
      </w:pPr>
      <w:rPr>
        <w:rFonts w:ascii="Wingdings" w:hAnsi="Wingdings" w:hint="default"/>
      </w:rPr>
    </w:lvl>
    <w:lvl w:ilvl="6" w:tplc="B1242FA4">
      <w:start w:val="1"/>
      <w:numFmt w:val="bullet"/>
      <w:lvlText w:val=""/>
      <w:lvlJc w:val="left"/>
      <w:pPr>
        <w:ind w:left="5040" w:hanging="360"/>
      </w:pPr>
      <w:rPr>
        <w:rFonts w:ascii="Symbol" w:hAnsi="Symbol" w:hint="default"/>
      </w:rPr>
    </w:lvl>
    <w:lvl w:ilvl="7" w:tplc="35AEAB6A">
      <w:start w:val="1"/>
      <w:numFmt w:val="bullet"/>
      <w:lvlText w:val="o"/>
      <w:lvlJc w:val="left"/>
      <w:pPr>
        <w:ind w:left="5760" w:hanging="360"/>
      </w:pPr>
      <w:rPr>
        <w:rFonts w:ascii="Courier New" w:hAnsi="Courier New" w:hint="default"/>
      </w:rPr>
    </w:lvl>
    <w:lvl w:ilvl="8" w:tplc="A7307716">
      <w:start w:val="1"/>
      <w:numFmt w:val="bullet"/>
      <w:lvlText w:val=""/>
      <w:lvlJc w:val="left"/>
      <w:pPr>
        <w:ind w:left="6480" w:hanging="360"/>
      </w:pPr>
      <w:rPr>
        <w:rFonts w:ascii="Wingdings" w:hAnsi="Wingdings" w:hint="default"/>
      </w:rPr>
    </w:lvl>
  </w:abstractNum>
  <w:abstractNum w:abstractNumId="9" w15:restartNumberingAfterBreak="0">
    <w:nsid w:val="2C7D885A"/>
    <w:multiLevelType w:val="multilevel"/>
    <w:tmpl w:val="B7526FD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 w15:restartNumberingAfterBreak="0">
    <w:nsid w:val="353220DF"/>
    <w:multiLevelType w:val="hybridMultilevel"/>
    <w:tmpl w:val="41C22A7E"/>
    <w:lvl w:ilvl="0" w:tplc="98D6D1AE">
      <w:start w:val="1"/>
      <w:numFmt w:val="bullet"/>
      <w:lvlText w:val=""/>
      <w:lvlJc w:val="left"/>
      <w:pPr>
        <w:ind w:left="720" w:hanging="360"/>
      </w:pPr>
      <w:rPr>
        <w:rFonts w:ascii="Wingdings" w:hAnsi="Wingdings" w:hint="default"/>
      </w:rPr>
    </w:lvl>
    <w:lvl w:ilvl="1" w:tplc="81284B6A">
      <w:start w:val="1"/>
      <w:numFmt w:val="bullet"/>
      <w:lvlText w:val="o"/>
      <w:lvlJc w:val="left"/>
      <w:pPr>
        <w:ind w:left="1440" w:hanging="360"/>
      </w:pPr>
      <w:rPr>
        <w:rFonts w:ascii="Courier New" w:hAnsi="Courier New" w:hint="default"/>
      </w:rPr>
    </w:lvl>
    <w:lvl w:ilvl="2" w:tplc="A6766CB4">
      <w:start w:val="1"/>
      <w:numFmt w:val="bullet"/>
      <w:lvlText w:val=""/>
      <w:lvlJc w:val="left"/>
      <w:pPr>
        <w:ind w:left="2160" w:hanging="360"/>
      </w:pPr>
      <w:rPr>
        <w:rFonts w:ascii="Wingdings" w:hAnsi="Wingdings" w:hint="default"/>
      </w:rPr>
    </w:lvl>
    <w:lvl w:ilvl="3" w:tplc="D28A9310">
      <w:start w:val="1"/>
      <w:numFmt w:val="bullet"/>
      <w:lvlText w:val=""/>
      <w:lvlJc w:val="left"/>
      <w:pPr>
        <w:ind w:left="2880" w:hanging="360"/>
      </w:pPr>
      <w:rPr>
        <w:rFonts w:ascii="Symbol" w:hAnsi="Symbol" w:hint="default"/>
      </w:rPr>
    </w:lvl>
    <w:lvl w:ilvl="4" w:tplc="39E0A71E">
      <w:start w:val="1"/>
      <w:numFmt w:val="bullet"/>
      <w:lvlText w:val="o"/>
      <w:lvlJc w:val="left"/>
      <w:pPr>
        <w:ind w:left="3600" w:hanging="360"/>
      </w:pPr>
      <w:rPr>
        <w:rFonts w:ascii="Courier New" w:hAnsi="Courier New" w:hint="default"/>
      </w:rPr>
    </w:lvl>
    <w:lvl w:ilvl="5" w:tplc="C1EC27F0">
      <w:start w:val="1"/>
      <w:numFmt w:val="bullet"/>
      <w:lvlText w:val=""/>
      <w:lvlJc w:val="left"/>
      <w:pPr>
        <w:ind w:left="4320" w:hanging="360"/>
      </w:pPr>
      <w:rPr>
        <w:rFonts w:ascii="Wingdings" w:hAnsi="Wingdings" w:hint="default"/>
      </w:rPr>
    </w:lvl>
    <w:lvl w:ilvl="6" w:tplc="A978FF40">
      <w:start w:val="1"/>
      <w:numFmt w:val="bullet"/>
      <w:lvlText w:val=""/>
      <w:lvlJc w:val="left"/>
      <w:pPr>
        <w:ind w:left="5040" w:hanging="360"/>
      </w:pPr>
      <w:rPr>
        <w:rFonts w:ascii="Symbol" w:hAnsi="Symbol" w:hint="default"/>
      </w:rPr>
    </w:lvl>
    <w:lvl w:ilvl="7" w:tplc="05723A54">
      <w:start w:val="1"/>
      <w:numFmt w:val="bullet"/>
      <w:lvlText w:val="o"/>
      <w:lvlJc w:val="left"/>
      <w:pPr>
        <w:ind w:left="5760" w:hanging="360"/>
      </w:pPr>
      <w:rPr>
        <w:rFonts w:ascii="Courier New" w:hAnsi="Courier New" w:hint="default"/>
      </w:rPr>
    </w:lvl>
    <w:lvl w:ilvl="8" w:tplc="F5765544">
      <w:start w:val="1"/>
      <w:numFmt w:val="bullet"/>
      <w:lvlText w:val=""/>
      <w:lvlJc w:val="left"/>
      <w:pPr>
        <w:ind w:left="6480" w:hanging="360"/>
      </w:pPr>
      <w:rPr>
        <w:rFonts w:ascii="Wingdings" w:hAnsi="Wingdings" w:hint="default"/>
      </w:rPr>
    </w:lvl>
  </w:abstractNum>
  <w:abstractNum w:abstractNumId="11" w15:restartNumberingAfterBreak="0">
    <w:nsid w:val="37904045"/>
    <w:multiLevelType w:val="hybridMultilevel"/>
    <w:tmpl w:val="B4A6B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2D4871"/>
    <w:multiLevelType w:val="multilevel"/>
    <w:tmpl w:val="7D34B9E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3" w15:restartNumberingAfterBreak="0">
    <w:nsid w:val="402BC978"/>
    <w:multiLevelType w:val="multilevel"/>
    <w:tmpl w:val="2DA46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63FD786"/>
    <w:multiLevelType w:val="hybridMultilevel"/>
    <w:tmpl w:val="29D2B61C"/>
    <w:lvl w:ilvl="0" w:tplc="FC10AF4E">
      <w:start w:val="1"/>
      <w:numFmt w:val="bullet"/>
      <w:lvlText w:val=""/>
      <w:lvlJc w:val="left"/>
      <w:pPr>
        <w:ind w:left="360" w:hanging="360"/>
      </w:pPr>
      <w:rPr>
        <w:rFonts w:ascii="Symbol" w:hAnsi="Symbol" w:hint="default"/>
      </w:rPr>
    </w:lvl>
    <w:lvl w:ilvl="1" w:tplc="C50E42FE">
      <w:start w:val="1"/>
      <w:numFmt w:val="bullet"/>
      <w:lvlText w:val="o"/>
      <w:lvlJc w:val="left"/>
      <w:pPr>
        <w:ind w:left="1440" w:hanging="360"/>
      </w:pPr>
      <w:rPr>
        <w:rFonts w:ascii="Courier New" w:hAnsi="Courier New" w:hint="default"/>
      </w:rPr>
    </w:lvl>
    <w:lvl w:ilvl="2" w:tplc="65501D40">
      <w:start w:val="1"/>
      <w:numFmt w:val="bullet"/>
      <w:lvlText w:val=""/>
      <w:lvlJc w:val="left"/>
      <w:pPr>
        <w:ind w:left="2160" w:hanging="360"/>
      </w:pPr>
      <w:rPr>
        <w:rFonts w:ascii="Wingdings" w:hAnsi="Wingdings" w:hint="default"/>
      </w:rPr>
    </w:lvl>
    <w:lvl w:ilvl="3" w:tplc="824ADF54">
      <w:start w:val="1"/>
      <w:numFmt w:val="bullet"/>
      <w:lvlText w:val=""/>
      <w:lvlJc w:val="left"/>
      <w:pPr>
        <w:ind w:left="2880" w:hanging="360"/>
      </w:pPr>
      <w:rPr>
        <w:rFonts w:ascii="Symbol" w:hAnsi="Symbol" w:hint="default"/>
      </w:rPr>
    </w:lvl>
    <w:lvl w:ilvl="4" w:tplc="26247B50">
      <w:start w:val="1"/>
      <w:numFmt w:val="bullet"/>
      <w:lvlText w:val="o"/>
      <w:lvlJc w:val="left"/>
      <w:pPr>
        <w:ind w:left="3600" w:hanging="360"/>
      </w:pPr>
      <w:rPr>
        <w:rFonts w:ascii="Courier New" w:hAnsi="Courier New" w:hint="default"/>
      </w:rPr>
    </w:lvl>
    <w:lvl w:ilvl="5" w:tplc="3342C7B2">
      <w:start w:val="1"/>
      <w:numFmt w:val="bullet"/>
      <w:lvlText w:val=""/>
      <w:lvlJc w:val="left"/>
      <w:pPr>
        <w:ind w:left="4320" w:hanging="360"/>
      </w:pPr>
      <w:rPr>
        <w:rFonts w:ascii="Wingdings" w:hAnsi="Wingdings" w:hint="default"/>
      </w:rPr>
    </w:lvl>
    <w:lvl w:ilvl="6" w:tplc="908CE45E">
      <w:start w:val="1"/>
      <w:numFmt w:val="bullet"/>
      <w:lvlText w:val=""/>
      <w:lvlJc w:val="left"/>
      <w:pPr>
        <w:ind w:left="5040" w:hanging="360"/>
      </w:pPr>
      <w:rPr>
        <w:rFonts w:ascii="Symbol" w:hAnsi="Symbol" w:hint="default"/>
      </w:rPr>
    </w:lvl>
    <w:lvl w:ilvl="7" w:tplc="6E4239C8">
      <w:start w:val="1"/>
      <w:numFmt w:val="bullet"/>
      <w:lvlText w:val="o"/>
      <w:lvlJc w:val="left"/>
      <w:pPr>
        <w:ind w:left="5760" w:hanging="360"/>
      </w:pPr>
      <w:rPr>
        <w:rFonts w:ascii="Courier New" w:hAnsi="Courier New" w:hint="default"/>
      </w:rPr>
    </w:lvl>
    <w:lvl w:ilvl="8" w:tplc="091499D6">
      <w:start w:val="1"/>
      <w:numFmt w:val="bullet"/>
      <w:lvlText w:val=""/>
      <w:lvlJc w:val="left"/>
      <w:pPr>
        <w:ind w:left="6480" w:hanging="360"/>
      </w:pPr>
      <w:rPr>
        <w:rFonts w:ascii="Wingdings" w:hAnsi="Wingdings" w:hint="default"/>
      </w:rPr>
    </w:lvl>
  </w:abstractNum>
  <w:abstractNum w:abstractNumId="15" w15:restartNumberingAfterBreak="0">
    <w:nsid w:val="4D239E12"/>
    <w:multiLevelType w:val="hybridMultilevel"/>
    <w:tmpl w:val="16EE2BF4"/>
    <w:lvl w:ilvl="0" w:tplc="A456F9AE">
      <w:start w:val="1"/>
      <w:numFmt w:val="bullet"/>
      <w:lvlText w:val=""/>
      <w:lvlJc w:val="left"/>
      <w:pPr>
        <w:ind w:left="720" w:hanging="360"/>
      </w:pPr>
      <w:rPr>
        <w:rFonts w:ascii="Symbol" w:hAnsi="Symbol" w:hint="default"/>
      </w:rPr>
    </w:lvl>
    <w:lvl w:ilvl="1" w:tplc="25941546">
      <w:start w:val="1"/>
      <w:numFmt w:val="bullet"/>
      <w:lvlText w:val="o"/>
      <w:lvlJc w:val="left"/>
      <w:pPr>
        <w:ind w:left="1440" w:hanging="360"/>
      </w:pPr>
      <w:rPr>
        <w:rFonts w:ascii="Courier New" w:hAnsi="Courier New" w:hint="default"/>
      </w:rPr>
    </w:lvl>
    <w:lvl w:ilvl="2" w:tplc="946C7B6E">
      <w:start w:val="1"/>
      <w:numFmt w:val="bullet"/>
      <w:lvlText w:val=""/>
      <w:lvlJc w:val="left"/>
      <w:pPr>
        <w:ind w:left="2160" w:hanging="360"/>
      </w:pPr>
      <w:rPr>
        <w:rFonts w:ascii="Wingdings" w:hAnsi="Wingdings" w:hint="default"/>
      </w:rPr>
    </w:lvl>
    <w:lvl w:ilvl="3" w:tplc="BD38B8E2">
      <w:start w:val="1"/>
      <w:numFmt w:val="bullet"/>
      <w:lvlText w:val=""/>
      <w:lvlJc w:val="left"/>
      <w:pPr>
        <w:ind w:left="2880" w:hanging="360"/>
      </w:pPr>
      <w:rPr>
        <w:rFonts w:ascii="Symbol" w:hAnsi="Symbol" w:hint="default"/>
      </w:rPr>
    </w:lvl>
    <w:lvl w:ilvl="4" w:tplc="5FACE76E">
      <w:start w:val="1"/>
      <w:numFmt w:val="bullet"/>
      <w:lvlText w:val="o"/>
      <w:lvlJc w:val="left"/>
      <w:pPr>
        <w:ind w:left="3600" w:hanging="360"/>
      </w:pPr>
      <w:rPr>
        <w:rFonts w:ascii="Courier New" w:hAnsi="Courier New" w:hint="default"/>
      </w:rPr>
    </w:lvl>
    <w:lvl w:ilvl="5" w:tplc="F86C0D66">
      <w:start w:val="1"/>
      <w:numFmt w:val="bullet"/>
      <w:lvlText w:val=""/>
      <w:lvlJc w:val="left"/>
      <w:pPr>
        <w:ind w:left="4320" w:hanging="360"/>
      </w:pPr>
      <w:rPr>
        <w:rFonts w:ascii="Wingdings" w:hAnsi="Wingdings" w:hint="default"/>
      </w:rPr>
    </w:lvl>
    <w:lvl w:ilvl="6" w:tplc="5B483344">
      <w:start w:val="1"/>
      <w:numFmt w:val="bullet"/>
      <w:lvlText w:val=""/>
      <w:lvlJc w:val="left"/>
      <w:pPr>
        <w:ind w:left="5040" w:hanging="360"/>
      </w:pPr>
      <w:rPr>
        <w:rFonts w:ascii="Symbol" w:hAnsi="Symbol" w:hint="default"/>
      </w:rPr>
    </w:lvl>
    <w:lvl w:ilvl="7" w:tplc="FF4801CA">
      <w:start w:val="1"/>
      <w:numFmt w:val="bullet"/>
      <w:lvlText w:val="o"/>
      <w:lvlJc w:val="left"/>
      <w:pPr>
        <w:ind w:left="5760" w:hanging="360"/>
      </w:pPr>
      <w:rPr>
        <w:rFonts w:ascii="Courier New" w:hAnsi="Courier New" w:hint="default"/>
      </w:rPr>
    </w:lvl>
    <w:lvl w:ilvl="8" w:tplc="0D04C310">
      <w:start w:val="1"/>
      <w:numFmt w:val="bullet"/>
      <w:lvlText w:val=""/>
      <w:lvlJc w:val="left"/>
      <w:pPr>
        <w:ind w:left="6480" w:hanging="360"/>
      </w:pPr>
      <w:rPr>
        <w:rFonts w:ascii="Wingdings" w:hAnsi="Wingdings" w:hint="default"/>
      </w:rPr>
    </w:lvl>
  </w:abstractNum>
  <w:abstractNum w:abstractNumId="16" w15:restartNumberingAfterBreak="0">
    <w:nsid w:val="4DC572D4"/>
    <w:multiLevelType w:val="hybridMultilevel"/>
    <w:tmpl w:val="43E880F4"/>
    <w:lvl w:ilvl="0" w:tplc="75687B1C">
      <w:start w:val="1"/>
      <w:numFmt w:val="bullet"/>
      <w:lvlText w:val=""/>
      <w:lvlJc w:val="left"/>
      <w:pPr>
        <w:ind w:left="360" w:hanging="360"/>
      </w:pPr>
      <w:rPr>
        <w:rFonts w:ascii="Wingdings" w:hAnsi="Wingdings" w:hint="default"/>
      </w:rPr>
    </w:lvl>
    <w:lvl w:ilvl="1" w:tplc="6060A93C">
      <w:start w:val="1"/>
      <w:numFmt w:val="bullet"/>
      <w:lvlText w:val="o"/>
      <w:lvlJc w:val="left"/>
      <w:pPr>
        <w:ind w:left="1080" w:hanging="360"/>
      </w:pPr>
      <w:rPr>
        <w:rFonts w:ascii="Courier New" w:hAnsi="Courier New" w:hint="default"/>
      </w:rPr>
    </w:lvl>
    <w:lvl w:ilvl="2" w:tplc="DD189C96">
      <w:start w:val="1"/>
      <w:numFmt w:val="bullet"/>
      <w:lvlText w:val=""/>
      <w:lvlJc w:val="left"/>
      <w:pPr>
        <w:ind w:left="1800" w:hanging="360"/>
      </w:pPr>
      <w:rPr>
        <w:rFonts w:ascii="Wingdings" w:hAnsi="Wingdings" w:hint="default"/>
      </w:rPr>
    </w:lvl>
    <w:lvl w:ilvl="3" w:tplc="8F7613BE">
      <w:start w:val="1"/>
      <w:numFmt w:val="bullet"/>
      <w:lvlText w:val=""/>
      <w:lvlJc w:val="left"/>
      <w:pPr>
        <w:ind w:left="2520" w:hanging="360"/>
      </w:pPr>
      <w:rPr>
        <w:rFonts w:ascii="Symbol" w:hAnsi="Symbol" w:hint="default"/>
      </w:rPr>
    </w:lvl>
    <w:lvl w:ilvl="4" w:tplc="AE1CF346">
      <w:start w:val="1"/>
      <w:numFmt w:val="bullet"/>
      <w:lvlText w:val="o"/>
      <w:lvlJc w:val="left"/>
      <w:pPr>
        <w:ind w:left="3240" w:hanging="360"/>
      </w:pPr>
      <w:rPr>
        <w:rFonts w:ascii="Courier New" w:hAnsi="Courier New" w:hint="default"/>
      </w:rPr>
    </w:lvl>
    <w:lvl w:ilvl="5" w:tplc="78BA12EE">
      <w:start w:val="1"/>
      <w:numFmt w:val="bullet"/>
      <w:lvlText w:val=""/>
      <w:lvlJc w:val="left"/>
      <w:pPr>
        <w:ind w:left="3960" w:hanging="360"/>
      </w:pPr>
      <w:rPr>
        <w:rFonts w:ascii="Wingdings" w:hAnsi="Wingdings" w:hint="default"/>
      </w:rPr>
    </w:lvl>
    <w:lvl w:ilvl="6" w:tplc="AA74D12A">
      <w:start w:val="1"/>
      <w:numFmt w:val="bullet"/>
      <w:lvlText w:val=""/>
      <w:lvlJc w:val="left"/>
      <w:pPr>
        <w:ind w:left="4680" w:hanging="360"/>
      </w:pPr>
      <w:rPr>
        <w:rFonts w:ascii="Symbol" w:hAnsi="Symbol" w:hint="default"/>
      </w:rPr>
    </w:lvl>
    <w:lvl w:ilvl="7" w:tplc="D7AEA8CE">
      <w:start w:val="1"/>
      <w:numFmt w:val="bullet"/>
      <w:lvlText w:val="o"/>
      <w:lvlJc w:val="left"/>
      <w:pPr>
        <w:ind w:left="5400" w:hanging="360"/>
      </w:pPr>
      <w:rPr>
        <w:rFonts w:ascii="Courier New" w:hAnsi="Courier New" w:hint="default"/>
      </w:rPr>
    </w:lvl>
    <w:lvl w:ilvl="8" w:tplc="80FCCB14">
      <w:start w:val="1"/>
      <w:numFmt w:val="bullet"/>
      <w:lvlText w:val=""/>
      <w:lvlJc w:val="left"/>
      <w:pPr>
        <w:ind w:left="6120" w:hanging="360"/>
      </w:pPr>
      <w:rPr>
        <w:rFonts w:ascii="Wingdings" w:hAnsi="Wingdings" w:hint="default"/>
      </w:rPr>
    </w:lvl>
  </w:abstractNum>
  <w:abstractNum w:abstractNumId="17" w15:restartNumberingAfterBreak="0">
    <w:nsid w:val="4E0E6D3F"/>
    <w:multiLevelType w:val="multilevel"/>
    <w:tmpl w:val="BAC815B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8" w15:restartNumberingAfterBreak="0">
    <w:nsid w:val="5945D843"/>
    <w:multiLevelType w:val="multilevel"/>
    <w:tmpl w:val="238E781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59C04313"/>
    <w:multiLevelType w:val="multilevel"/>
    <w:tmpl w:val="6E0AFB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1DB57CE"/>
    <w:multiLevelType w:val="hybridMultilevel"/>
    <w:tmpl w:val="716CA738"/>
    <w:lvl w:ilvl="0" w:tplc="3DCC3706">
      <w:start w:val="1"/>
      <w:numFmt w:val="bullet"/>
      <w:lvlText w:val=""/>
      <w:lvlJc w:val="left"/>
      <w:pPr>
        <w:ind w:left="720" w:hanging="360"/>
      </w:pPr>
      <w:rPr>
        <w:rFonts w:ascii="Wingdings" w:hAnsi="Wingdings"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962D"/>
    <w:multiLevelType w:val="hybridMultilevel"/>
    <w:tmpl w:val="E174E22E"/>
    <w:lvl w:ilvl="0" w:tplc="96E8C154">
      <w:start w:val="1"/>
      <w:numFmt w:val="bullet"/>
      <w:lvlText w:val=""/>
      <w:lvlJc w:val="left"/>
      <w:pPr>
        <w:ind w:left="360" w:hanging="360"/>
      </w:pPr>
      <w:rPr>
        <w:rFonts w:ascii="Wingdings" w:hAnsi="Wingdings" w:hint="default"/>
      </w:rPr>
    </w:lvl>
    <w:lvl w:ilvl="1" w:tplc="53184BE0">
      <w:start w:val="1"/>
      <w:numFmt w:val="bullet"/>
      <w:lvlText w:val="o"/>
      <w:lvlJc w:val="left"/>
      <w:pPr>
        <w:ind w:left="1080" w:hanging="360"/>
      </w:pPr>
      <w:rPr>
        <w:rFonts w:ascii="Courier New" w:hAnsi="Courier New" w:hint="default"/>
      </w:rPr>
    </w:lvl>
    <w:lvl w:ilvl="2" w:tplc="5DDE94F4">
      <w:start w:val="1"/>
      <w:numFmt w:val="bullet"/>
      <w:lvlText w:val=""/>
      <w:lvlJc w:val="left"/>
      <w:pPr>
        <w:ind w:left="1800" w:hanging="360"/>
      </w:pPr>
      <w:rPr>
        <w:rFonts w:ascii="Wingdings" w:hAnsi="Wingdings" w:hint="default"/>
      </w:rPr>
    </w:lvl>
    <w:lvl w:ilvl="3" w:tplc="BEB6F154">
      <w:start w:val="1"/>
      <w:numFmt w:val="bullet"/>
      <w:lvlText w:val=""/>
      <w:lvlJc w:val="left"/>
      <w:pPr>
        <w:ind w:left="2520" w:hanging="360"/>
      </w:pPr>
      <w:rPr>
        <w:rFonts w:ascii="Symbol" w:hAnsi="Symbol" w:hint="default"/>
      </w:rPr>
    </w:lvl>
    <w:lvl w:ilvl="4" w:tplc="C65C2BC2">
      <w:start w:val="1"/>
      <w:numFmt w:val="bullet"/>
      <w:lvlText w:val="o"/>
      <w:lvlJc w:val="left"/>
      <w:pPr>
        <w:ind w:left="3240" w:hanging="360"/>
      </w:pPr>
      <w:rPr>
        <w:rFonts w:ascii="Courier New" w:hAnsi="Courier New" w:hint="default"/>
      </w:rPr>
    </w:lvl>
    <w:lvl w:ilvl="5" w:tplc="0ACA6D6C">
      <w:start w:val="1"/>
      <w:numFmt w:val="bullet"/>
      <w:lvlText w:val=""/>
      <w:lvlJc w:val="left"/>
      <w:pPr>
        <w:ind w:left="3960" w:hanging="360"/>
      </w:pPr>
      <w:rPr>
        <w:rFonts w:ascii="Wingdings" w:hAnsi="Wingdings" w:hint="default"/>
      </w:rPr>
    </w:lvl>
    <w:lvl w:ilvl="6" w:tplc="41BE95F4">
      <w:start w:val="1"/>
      <w:numFmt w:val="bullet"/>
      <w:lvlText w:val=""/>
      <w:lvlJc w:val="left"/>
      <w:pPr>
        <w:ind w:left="4680" w:hanging="360"/>
      </w:pPr>
      <w:rPr>
        <w:rFonts w:ascii="Symbol" w:hAnsi="Symbol" w:hint="default"/>
      </w:rPr>
    </w:lvl>
    <w:lvl w:ilvl="7" w:tplc="2FD08E6C">
      <w:start w:val="1"/>
      <w:numFmt w:val="bullet"/>
      <w:lvlText w:val="o"/>
      <w:lvlJc w:val="left"/>
      <w:pPr>
        <w:ind w:left="5400" w:hanging="360"/>
      </w:pPr>
      <w:rPr>
        <w:rFonts w:ascii="Courier New" w:hAnsi="Courier New" w:hint="default"/>
      </w:rPr>
    </w:lvl>
    <w:lvl w:ilvl="8" w:tplc="630633CA">
      <w:start w:val="1"/>
      <w:numFmt w:val="bullet"/>
      <w:lvlText w:val=""/>
      <w:lvlJc w:val="left"/>
      <w:pPr>
        <w:ind w:left="6120" w:hanging="360"/>
      </w:pPr>
      <w:rPr>
        <w:rFonts w:ascii="Wingdings" w:hAnsi="Wingdings" w:hint="default"/>
      </w:rPr>
    </w:lvl>
  </w:abstractNum>
  <w:abstractNum w:abstractNumId="22" w15:restartNumberingAfterBreak="0">
    <w:nsid w:val="65C4236C"/>
    <w:multiLevelType w:val="hybridMultilevel"/>
    <w:tmpl w:val="496635F0"/>
    <w:lvl w:ilvl="0" w:tplc="BC766F46">
      <w:start w:val="1"/>
      <w:numFmt w:val="bullet"/>
      <w:lvlText w:val=""/>
      <w:lvlJc w:val="left"/>
      <w:pPr>
        <w:ind w:left="360" w:hanging="360"/>
      </w:pPr>
      <w:rPr>
        <w:rFonts w:ascii="Wingdings" w:hAnsi="Wingdings" w:hint="default"/>
      </w:rPr>
    </w:lvl>
    <w:lvl w:ilvl="1" w:tplc="2EF84754">
      <w:start w:val="1"/>
      <w:numFmt w:val="bullet"/>
      <w:lvlText w:val="o"/>
      <w:lvlJc w:val="left"/>
      <w:pPr>
        <w:ind w:left="1080" w:hanging="360"/>
      </w:pPr>
      <w:rPr>
        <w:rFonts w:ascii="Courier New" w:hAnsi="Courier New" w:hint="default"/>
      </w:rPr>
    </w:lvl>
    <w:lvl w:ilvl="2" w:tplc="EE5CDF26">
      <w:start w:val="1"/>
      <w:numFmt w:val="bullet"/>
      <w:lvlText w:val=""/>
      <w:lvlJc w:val="left"/>
      <w:pPr>
        <w:ind w:left="1800" w:hanging="360"/>
      </w:pPr>
      <w:rPr>
        <w:rFonts w:ascii="Wingdings" w:hAnsi="Wingdings" w:hint="default"/>
      </w:rPr>
    </w:lvl>
    <w:lvl w:ilvl="3" w:tplc="68642734">
      <w:start w:val="1"/>
      <w:numFmt w:val="bullet"/>
      <w:lvlText w:val=""/>
      <w:lvlJc w:val="left"/>
      <w:pPr>
        <w:ind w:left="2520" w:hanging="360"/>
      </w:pPr>
      <w:rPr>
        <w:rFonts w:ascii="Symbol" w:hAnsi="Symbol" w:hint="default"/>
      </w:rPr>
    </w:lvl>
    <w:lvl w:ilvl="4" w:tplc="4C26A736">
      <w:start w:val="1"/>
      <w:numFmt w:val="bullet"/>
      <w:lvlText w:val="o"/>
      <w:lvlJc w:val="left"/>
      <w:pPr>
        <w:ind w:left="3240" w:hanging="360"/>
      </w:pPr>
      <w:rPr>
        <w:rFonts w:ascii="Courier New" w:hAnsi="Courier New" w:hint="default"/>
      </w:rPr>
    </w:lvl>
    <w:lvl w:ilvl="5" w:tplc="6B8C7060">
      <w:start w:val="1"/>
      <w:numFmt w:val="bullet"/>
      <w:lvlText w:val=""/>
      <w:lvlJc w:val="left"/>
      <w:pPr>
        <w:ind w:left="3960" w:hanging="360"/>
      </w:pPr>
      <w:rPr>
        <w:rFonts w:ascii="Wingdings" w:hAnsi="Wingdings" w:hint="default"/>
      </w:rPr>
    </w:lvl>
    <w:lvl w:ilvl="6" w:tplc="B3962752">
      <w:start w:val="1"/>
      <w:numFmt w:val="bullet"/>
      <w:lvlText w:val=""/>
      <w:lvlJc w:val="left"/>
      <w:pPr>
        <w:ind w:left="4680" w:hanging="360"/>
      </w:pPr>
      <w:rPr>
        <w:rFonts w:ascii="Symbol" w:hAnsi="Symbol" w:hint="default"/>
      </w:rPr>
    </w:lvl>
    <w:lvl w:ilvl="7" w:tplc="D47E9FAA">
      <w:start w:val="1"/>
      <w:numFmt w:val="bullet"/>
      <w:lvlText w:val="o"/>
      <w:lvlJc w:val="left"/>
      <w:pPr>
        <w:ind w:left="5400" w:hanging="360"/>
      </w:pPr>
      <w:rPr>
        <w:rFonts w:ascii="Courier New" w:hAnsi="Courier New" w:hint="default"/>
      </w:rPr>
    </w:lvl>
    <w:lvl w:ilvl="8" w:tplc="B3EAC7A6">
      <w:start w:val="1"/>
      <w:numFmt w:val="bullet"/>
      <w:lvlText w:val=""/>
      <w:lvlJc w:val="left"/>
      <w:pPr>
        <w:ind w:left="6120" w:hanging="360"/>
      </w:pPr>
      <w:rPr>
        <w:rFonts w:ascii="Wingdings" w:hAnsi="Wingdings" w:hint="default"/>
      </w:rPr>
    </w:lvl>
  </w:abstractNum>
  <w:abstractNum w:abstractNumId="23" w15:restartNumberingAfterBreak="0">
    <w:nsid w:val="6953AE2A"/>
    <w:multiLevelType w:val="multilevel"/>
    <w:tmpl w:val="8B54B7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3AC4CC2"/>
    <w:multiLevelType w:val="hybridMultilevel"/>
    <w:tmpl w:val="593E09E0"/>
    <w:lvl w:ilvl="0" w:tplc="301AB058">
      <w:start w:val="1"/>
      <w:numFmt w:val="bullet"/>
      <w:lvlText w:val=""/>
      <w:lvlJc w:val="left"/>
      <w:pPr>
        <w:ind w:left="360" w:hanging="360"/>
      </w:pPr>
      <w:rPr>
        <w:rFonts w:ascii="Wingdings" w:hAnsi="Wingdings" w:hint="default"/>
      </w:rPr>
    </w:lvl>
    <w:lvl w:ilvl="1" w:tplc="C8DC469C">
      <w:start w:val="1"/>
      <w:numFmt w:val="bullet"/>
      <w:lvlText w:val="o"/>
      <w:lvlJc w:val="left"/>
      <w:pPr>
        <w:ind w:left="1080" w:hanging="360"/>
      </w:pPr>
      <w:rPr>
        <w:rFonts w:ascii="Courier New" w:hAnsi="Courier New" w:hint="default"/>
      </w:rPr>
    </w:lvl>
    <w:lvl w:ilvl="2" w:tplc="53DCAC7E">
      <w:start w:val="1"/>
      <w:numFmt w:val="bullet"/>
      <w:lvlText w:val=""/>
      <w:lvlJc w:val="left"/>
      <w:pPr>
        <w:ind w:left="1800" w:hanging="360"/>
      </w:pPr>
      <w:rPr>
        <w:rFonts w:ascii="Wingdings" w:hAnsi="Wingdings" w:hint="default"/>
      </w:rPr>
    </w:lvl>
    <w:lvl w:ilvl="3" w:tplc="EBACE34E">
      <w:start w:val="1"/>
      <w:numFmt w:val="bullet"/>
      <w:lvlText w:val=""/>
      <w:lvlJc w:val="left"/>
      <w:pPr>
        <w:ind w:left="2520" w:hanging="360"/>
      </w:pPr>
      <w:rPr>
        <w:rFonts w:ascii="Symbol" w:hAnsi="Symbol" w:hint="default"/>
      </w:rPr>
    </w:lvl>
    <w:lvl w:ilvl="4" w:tplc="C308B030">
      <w:start w:val="1"/>
      <w:numFmt w:val="bullet"/>
      <w:lvlText w:val="o"/>
      <w:lvlJc w:val="left"/>
      <w:pPr>
        <w:ind w:left="3240" w:hanging="360"/>
      </w:pPr>
      <w:rPr>
        <w:rFonts w:ascii="Courier New" w:hAnsi="Courier New" w:hint="default"/>
      </w:rPr>
    </w:lvl>
    <w:lvl w:ilvl="5" w:tplc="B7281AA8">
      <w:start w:val="1"/>
      <w:numFmt w:val="bullet"/>
      <w:lvlText w:val=""/>
      <w:lvlJc w:val="left"/>
      <w:pPr>
        <w:ind w:left="3960" w:hanging="360"/>
      </w:pPr>
      <w:rPr>
        <w:rFonts w:ascii="Wingdings" w:hAnsi="Wingdings" w:hint="default"/>
      </w:rPr>
    </w:lvl>
    <w:lvl w:ilvl="6" w:tplc="1826E86E">
      <w:start w:val="1"/>
      <w:numFmt w:val="bullet"/>
      <w:lvlText w:val=""/>
      <w:lvlJc w:val="left"/>
      <w:pPr>
        <w:ind w:left="4680" w:hanging="360"/>
      </w:pPr>
      <w:rPr>
        <w:rFonts w:ascii="Symbol" w:hAnsi="Symbol" w:hint="default"/>
      </w:rPr>
    </w:lvl>
    <w:lvl w:ilvl="7" w:tplc="5B60F564">
      <w:start w:val="1"/>
      <w:numFmt w:val="bullet"/>
      <w:lvlText w:val="o"/>
      <w:lvlJc w:val="left"/>
      <w:pPr>
        <w:ind w:left="5400" w:hanging="360"/>
      </w:pPr>
      <w:rPr>
        <w:rFonts w:ascii="Courier New" w:hAnsi="Courier New" w:hint="default"/>
      </w:rPr>
    </w:lvl>
    <w:lvl w:ilvl="8" w:tplc="A670CA72">
      <w:start w:val="1"/>
      <w:numFmt w:val="bullet"/>
      <w:lvlText w:val=""/>
      <w:lvlJc w:val="left"/>
      <w:pPr>
        <w:ind w:left="6120" w:hanging="360"/>
      </w:pPr>
      <w:rPr>
        <w:rFonts w:ascii="Wingdings" w:hAnsi="Wingdings" w:hint="default"/>
      </w:rPr>
    </w:lvl>
  </w:abstractNum>
  <w:abstractNum w:abstractNumId="25" w15:restartNumberingAfterBreak="0">
    <w:nsid w:val="744B87C6"/>
    <w:multiLevelType w:val="hybridMultilevel"/>
    <w:tmpl w:val="3BA0DD3E"/>
    <w:lvl w:ilvl="0" w:tplc="484E2666">
      <w:start w:val="1"/>
      <w:numFmt w:val="decimal"/>
      <w:lvlText w:val="%1."/>
      <w:lvlJc w:val="left"/>
      <w:pPr>
        <w:ind w:left="720" w:hanging="360"/>
      </w:pPr>
    </w:lvl>
    <w:lvl w:ilvl="1" w:tplc="5B60DB02">
      <w:start w:val="1"/>
      <w:numFmt w:val="lowerLetter"/>
      <w:lvlText w:val="%2."/>
      <w:lvlJc w:val="left"/>
      <w:pPr>
        <w:ind w:left="1440" w:hanging="360"/>
      </w:pPr>
    </w:lvl>
    <w:lvl w:ilvl="2" w:tplc="9A40132A">
      <w:start w:val="1"/>
      <w:numFmt w:val="lowerRoman"/>
      <w:lvlText w:val="%3."/>
      <w:lvlJc w:val="right"/>
      <w:pPr>
        <w:ind w:left="2160" w:hanging="180"/>
      </w:pPr>
    </w:lvl>
    <w:lvl w:ilvl="3" w:tplc="A398983E">
      <w:start w:val="1"/>
      <w:numFmt w:val="decimal"/>
      <w:lvlText w:val="%4."/>
      <w:lvlJc w:val="left"/>
      <w:pPr>
        <w:ind w:left="2880" w:hanging="360"/>
      </w:pPr>
    </w:lvl>
    <w:lvl w:ilvl="4" w:tplc="04D83BD4">
      <w:start w:val="1"/>
      <w:numFmt w:val="lowerLetter"/>
      <w:lvlText w:val="%5."/>
      <w:lvlJc w:val="left"/>
      <w:pPr>
        <w:ind w:left="3600" w:hanging="360"/>
      </w:pPr>
    </w:lvl>
    <w:lvl w:ilvl="5" w:tplc="9258DF80">
      <w:start w:val="1"/>
      <w:numFmt w:val="lowerRoman"/>
      <w:lvlText w:val="%6."/>
      <w:lvlJc w:val="right"/>
      <w:pPr>
        <w:ind w:left="4320" w:hanging="180"/>
      </w:pPr>
    </w:lvl>
    <w:lvl w:ilvl="6" w:tplc="E7CC11CA">
      <w:start w:val="1"/>
      <w:numFmt w:val="decimal"/>
      <w:lvlText w:val="%7."/>
      <w:lvlJc w:val="left"/>
      <w:pPr>
        <w:ind w:left="5040" w:hanging="360"/>
      </w:pPr>
    </w:lvl>
    <w:lvl w:ilvl="7" w:tplc="B254E918">
      <w:start w:val="1"/>
      <w:numFmt w:val="lowerLetter"/>
      <w:lvlText w:val="%8."/>
      <w:lvlJc w:val="left"/>
      <w:pPr>
        <w:ind w:left="5760" w:hanging="360"/>
      </w:pPr>
    </w:lvl>
    <w:lvl w:ilvl="8" w:tplc="FCA28796">
      <w:start w:val="1"/>
      <w:numFmt w:val="lowerRoman"/>
      <w:lvlText w:val="%9."/>
      <w:lvlJc w:val="right"/>
      <w:pPr>
        <w:ind w:left="6480" w:hanging="180"/>
      </w:pPr>
    </w:lvl>
  </w:abstractNum>
  <w:abstractNum w:abstractNumId="2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31FF1"/>
    <w:multiLevelType w:val="multilevel"/>
    <w:tmpl w:val="1B7825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29670205">
    <w:abstractNumId w:val="19"/>
  </w:num>
  <w:num w:numId="2" w16cid:durableId="98451593">
    <w:abstractNumId w:val="4"/>
  </w:num>
  <w:num w:numId="3" w16cid:durableId="588781046">
    <w:abstractNumId w:val="25"/>
  </w:num>
  <w:num w:numId="4" w16cid:durableId="923143469">
    <w:abstractNumId w:val="0"/>
  </w:num>
  <w:num w:numId="5" w16cid:durableId="1854220415">
    <w:abstractNumId w:val="21"/>
  </w:num>
  <w:num w:numId="6" w16cid:durableId="1158231680">
    <w:abstractNumId w:val="22"/>
  </w:num>
  <w:num w:numId="7" w16cid:durableId="764225023">
    <w:abstractNumId w:val="12"/>
  </w:num>
  <w:num w:numId="8" w16cid:durableId="58289507">
    <w:abstractNumId w:val="18"/>
  </w:num>
  <w:num w:numId="9" w16cid:durableId="1292710638">
    <w:abstractNumId w:val="15"/>
  </w:num>
  <w:num w:numId="10" w16cid:durableId="395667204">
    <w:abstractNumId w:val="24"/>
  </w:num>
  <w:num w:numId="11" w16cid:durableId="1581330686">
    <w:abstractNumId w:val="2"/>
  </w:num>
  <w:num w:numId="12" w16cid:durableId="161817327">
    <w:abstractNumId w:val="13"/>
  </w:num>
  <w:num w:numId="13" w16cid:durableId="181094120">
    <w:abstractNumId w:val="23"/>
  </w:num>
  <w:num w:numId="14" w16cid:durableId="244264641">
    <w:abstractNumId w:val="7"/>
  </w:num>
  <w:num w:numId="15" w16cid:durableId="191110061">
    <w:abstractNumId w:val="6"/>
  </w:num>
  <w:num w:numId="16" w16cid:durableId="991444749">
    <w:abstractNumId w:val="9"/>
  </w:num>
  <w:num w:numId="17" w16cid:durableId="608901959">
    <w:abstractNumId w:val="5"/>
  </w:num>
  <w:num w:numId="18" w16cid:durableId="436944245">
    <w:abstractNumId w:val="27"/>
  </w:num>
  <w:num w:numId="19" w16cid:durableId="93289140">
    <w:abstractNumId w:val="16"/>
  </w:num>
  <w:num w:numId="20" w16cid:durableId="148399364">
    <w:abstractNumId w:val="14"/>
  </w:num>
  <w:num w:numId="21" w16cid:durableId="2067600524">
    <w:abstractNumId w:val="3"/>
  </w:num>
  <w:num w:numId="22" w16cid:durableId="713894058">
    <w:abstractNumId w:val="8"/>
  </w:num>
  <w:num w:numId="23" w16cid:durableId="1432236514">
    <w:abstractNumId w:val="10"/>
  </w:num>
  <w:num w:numId="24" w16cid:durableId="1351566482">
    <w:abstractNumId w:val="1"/>
  </w:num>
  <w:num w:numId="25" w16cid:durableId="391781263">
    <w:abstractNumId w:val="17"/>
  </w:num>
  <w:num w:numId="26" w16cid:durableId="662049574">
    <w:abstractNumId w:val="26"/>
  </w:num>
  <w:num w:numId="27" w16cid:durableId="848253429">
    <w:abstractNumId w:val="11"/>
  </w:num>
  <w:num w:numId="28" w16cid:durableId="1722294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5"/>
    <w:rsid w:val="00024950"/>
    <w:rsid w:val="0003553E"/>
    <w:rsid w:val="0004574B"/>
    <w:rsid w:val="00073410"/>
    <w:rsid w:val="00081B5A"/>
    <w:rsid w:val="000876EA"/>
    <w:rsid w:val="000A59D7"/>
    <w:rsid w:val="000B03F7"/>
    <w:rsid w:val="000B234C"/>
    <w:rsid w:val="000F7CEE"/>
    <w:rsid w:val="00100420"/>
    <w:rsid w:val="00104D12"/>
    <w:rsid w:val="00106516"/>
    <w:rsid w:val="001607B6"/>
    <w:rsid w:val="001608E7"/>
    <w:rsid w:val="0016466E"/>
    <w:rsid w:val="0016E152"/>
    <w:rsid w:val="0017268E"/>
    <w:rsid w:val="001868EC"/>
    <w:rsid w:val="001A3D21"/>
    <w:rsid w:val="001A4783"/>
    <w:rsid w:val="001B1A21"/>
    <w:rsid w:val="001C2EAB"/>
    <w:rsid w:val="001F7F0C"/>
    <w:rsid w:val="0022096D"/>
    <w:rsid w:val="002308E6"/>
    <w:rsid w:val="0024023C"/>
    <w:rsid w:val="00241173"/>
    <w:rsid w:val="00274B43"/>
    <w:rsid w:val="002B03EB"/>
    <w:rsid w:val="002D7A33"/>
    <w:rsid w:val="003229F3"/>
    <w:rsid w:val="0032A2DA"/>
    <w:rsid w:val="003337CF"/>
    <w:rsid w:val="00366940"/>
    <w:rsid w:val="0037732B"/>
    <w:rsid w:val="003C26D2"/>
    <w:rsid w:val="003F1E9A"/>
    <w:rsid w:val="003F6729"/>
    <w:rsid w:val="00400259"/>
    <w:rsid w:val="00407C67"/>
    <w:rsid w:val="00417384"/>
    <w:rsid w:val="00453CA9"/>
    <w:rsid w:val="00465C44"/>
    <w:rsid w:val="00483693"/>
    <w:rsid w:val="00484161"/>
    <w:rsid w:val="00496757"/>
    <w:rsid w:val="004D589E"/>
    <w:rsid w:val="00505BD2"/>
    <w:rsid w:val="005134D9"/>
    <w:rsid w:val="0052604A"/>
    <w:rsid w:val="00531755"/>
    <w:rsid w:val="00580479"/>
    <w:rsid w:val="0059613F"/>
    <w:rsid w:val="005B7F23"/>
    <w:rsid w:val="005E4127"/>
    <w:rsid w:val="005E5793"/>
    <w:rsid w:val="00603A9F"/>
    <w:rsid w:val="00616F53"/>
    <w:rsid w:val="00636728"/>
    <w:rsid w:val="00641CF7"/>
    <w:rsid w:val="0065388B"/>
    <w:rsid w:val="006B2401"/>
    <w:rsid w:val="006D5B62"/>
    <w:rsid w:val="006E5A62"/>
    <w:rsid w:val="00731FA7"/>
    <w:rsid w:val="0076074D"/>
    <w:rsid w:val="007763E3"/>
    <w:rsid w:val="008130E8"/>
    <w:rsid w:val="008176EB"/>
    <w:rsid w:val="00821148"/>
    <w:rsid w:val="00857500"/>
    <w:rsid w:val="008663FD"/>
    <w:rsid w:val="00882261"/>
    <w:rsid w:val="00887B9A"/>
    <w:rsid w:val="0089644E"/>
    <w:rsid w:val="008B51BA"/>
    <w:rsid w:val="008B701C"/>
    <w:rsid w:val="008E3B49"/>
    <w:rsid w:val="00903595"/>
    <w:rsid w:val="00947D3E"/>
    <w:rsid w:val="009519E3"/>
    <w:rsid w:val="00972FD8"/>
    <w:rsid w:val="00982B9E"/>
    <w:rsid w:val="009A36ED"/>
    <w:rsid w:val="009A5EC3"/>
    <w:rsid w:val="009B604F"/>
    <w:rsid w:val="009B674B"/>
    <w:rsid w:val="009D2335"/>
    <w:rsid w:val="009F7FAE"/>
    <w:rsid w:val="00A15981"/>
    <w:rsid w:val="00A20407"/>
    <w:rsid w:val="00A42BBA"/>
    <w:rsid w:val="00A52D37"/>
    <w:rsid w:val="00A55646"/>
    <w:rsid w:val="00A77E07"/>
    <w:rsid w:val="00AA4B40"/>
    <w:rsid w:val="00AD015A"/>
    <w:rsid w:val="00AF1354"/>
    <w:rsid w:val="00AF44E7"/>
    <w:rsid w:val="00B0741C"/>
    <w:rsid w:val="00B25B57"/>
    <w:rsid w:val="00B45ED8"/>
    <w:rsid w:val="00B531EA"/>
    <w:rsid w:val="00B81724"/>
    <w:rsid w:val="00BA0C5A"/>
    <w:rsid w:val="00C25A79"/>
    <w:rsid w:val="00C303E5"/>
    <w:rsid w:val="00C3419A"/>
    <w:rsid w:val="00C351AB"/>
    <w:rsid w:val="00C3590E"/>
    <w:rsid w:val="00C41CA5"/>
    <w:rsid w:val="00C446B2"/>
    <w:rsid w:val="00C465E5"/>
    <w:rsid w:val="00C50166"/>
    <w:rsid w:val="00C5243F"/>
    <w:rsid w:val="00C84770"/>
    <w:rsid w:val="00CB7AC2"/>
    <w:rsid w:val="00CC5DE0"/>
    <w:rsid w:val="00CD3A33"/>
    <w:rsid w:val="00CD5B0F"/>
    <w:rsid w:val="00D2587C"/>
    <w:rsid w:val="00D63E08"/>
    <w:rsid w:val="00DA5312"/>
    <w:rsid w:val="00E00A6F"/>
    <w:rsid w:val="00E3312E"/>
    <w:rsid w:val="00E779C1"/>
    <w:rsid w:val="00E84402"/>
    <w:rsid w:val="00E87733"/>
    <w:rsid w:val="00EA45CD"/>
    <w:rsid w:val="00ED4784"/>
    <w:rsid w:val="00EE5751"/>
    <w:rsid w:val="00F15F31"/>
    <w:rsid w:val="00F81020"/>
    <w:rsid w:val="00FD186C"/>
    <w:rsid w:val="00FD7293"/>
    <w:rsid w:val="011235C0"/>
    <w:rsid w:val="0139E0EF"/>
    <w:rsid w:val="013E30F0"/>
    <w:rsid w:val="01A28F3D"/>
    <w:rsid w:val="01BB7435"/>
    <w:rsid w:val="01BF72E9"/>
    <w:rsid w:val="028224EE"/>
    <w:rsid w:val="02DCC52F"/>
    <w:rsid w:val="02DD23F6"/>
    <w:rsid w:val="031860EC"/>
    <w:rsid w:val="03A26CAD"/>
    <w:rsid w:val="03C2CD66"/>
    <w:rsid w:val="03EAA3E8"/>
    <w:rsid w:val="0435D176"/>
    <w:rsid w:val="054658DC"/>
    <w:rsid w:val="05947413"/>
    <w:rsid w:val="05A3DEE0"/>
    <w:rsid w:val="05DAAD81"/>
    <w:rsid w:val="05FB4A5C"/>
    <w:rsid w:val="062F3AB9"/>
    <w:rsid w:val="0656E3EC"/>
    <w:rsid w:val="0658EF9B"/>
    <w:rsid w:val="06639909"/>
    <w:rsid w:val="06D5AC05"/>
    <w:rsid w:val="081C6466"/>
    <w:rsid w:val="081E0BDA"/>
    <w:rsid w:val="082A2F32"/>
    <w:rsid w:val="089FFBB7"/>
    <w:rsid w:val="08C2EC98"/>
    <w:rsid w:val="08D724E3"/>
    <w:rsid w:val="08E45B11"/>
    <w:rsid w:val="091938E6"/>
    <w:rsid w:val="096D8A8C"/>
    <w:rsid w:val="09B5CE0C"/>
    <w:rsid w:val="09C3B0F9"/>
    <w:rsid w:val="0A060B1F"/>
    <w:rsid w:val="0A07D43C"/>
    <w:rsid w:val="0A180C0D"/>
    <w:rsid w:val="0A62A553"/>
    <w:rsid w:val="0B029A95"/>
    <w:rsid w:val="0B43394A"/>
    <w:rsid w:val="0B6325FE"/>
    <w:rsid w:val="0B962C54"/>
    <w:rsid w:val="0BB15C51"/>
    <w:rsid w:val="0BB3E99C"/>
    <w:rsid w:val="0BD40C4A"/>
    <w:rsid w:val="0D5EC559"/>
    <w:rsid w:val="0DBB2DDB"/>
    <w:rsid w:val="0DEDFF12"/>
    <w:rsid w:val="0E75FDE1"/>
    <w:rsid w:val="0E8BC6FC"/>
    <w:rsid w:val="0E990734"/>
    <w:rsid w:val="0F96D51F"/>
    <w:rsid w:val="0F9A6F7D"/>
    <w:rsid w:val="0FB4A258"/>
    <w:rsid w:val="1051C956"/>
    <w:rsid w:val="106455F5"/>
    <w:rsid w:val="106549D5"/>
    <w:rsid w:val="10C8C4AD"/>
    <w:rsid w:val="10CC812C"/>
    <w:rsid w:val="11B270C5"/>
    <w:rsid w:val="120ADB42"/>
    <w:rsid w:val="12345497"/>
    <w:rsid w:val="1325EBD3"/>
    <w:rsid w:val="13657942"/>
    <w:rsid w:val="137C4E19"/>
    <w:rsid w:val="13A3E0DA"/>
    <w:rsid w:val="13E4A8D7"/>
    <w:rsid w:val="13E588C6"/>
    <w:rsid w:val="143EDE2A"/>
    <w:rsid w:val="146A7C10"/>
    <w:rsid w:val="14713C42"/>
    <w:rsid w:val="14A2F505"/>
    <w:rsid w:val="14C88EE5"/>
    <w:rsid w:val="15279F2F"/>
    <w:rsid w:val="15F26E86"/>
    <w:rsid w:val="1638F49F"/>
    <w:rsid w:val="166775D9"/>
    <w:rsid w:val="16A5EC53"/>
    <w:rsid w:val="16BC91C4"/>
    <w:rsid w:val="16DA06E5"/>
    <w:rsid w:val="1792E930"/>
    <w:rsid w:val="17E5BB42"/>
    <w:rsid w:val="1801BB4B"/>
    <w:rsid w:val="18101767"/>
    <w:rsid w:val="183A56AE"/>
    <w:rsid w:val="18BB4B38"/>
    <w:rsid w:val="18DE684C"/>
    <w:rsid w:val="18E3446E"/>
    <w:rsid w:val="19100631"/>
    <w:rsid w:val="1991F214"/>
    <w:rsid w:val="19AE4720"/>
    <w:rsid w:val="1ADD0F69"/>
    <w:rsid w:val="1BE0D917"/>
    <w:rsid w:val="1C5EA221"/>
    <w:rsid w:val="1D228F62"/>
    <w:rsid w:val="1D74F868"/>
    <w:rsid w:val="1D825F8B"/>
    <w:rsid w:val="1D8D256B"/>
    <w:rsid w:val="1E55847D"/>
    <w:rsid w:val="1E83163D"/>
    <w:rsid w:val="1F1C5413"/>
    <w:rsid w:val="1F21E078"/>
    <w:rsid w:val="1F2B2ABD"/>
    <w:rsid w:val="1F834ACC"/>
    <w:rsid w:val="1FAB46C1"/>
    <w:rsid w:val="201421FE"/>
    <w:rsid w:val="201C4A64"/>
    <w:rsid w:val="20EE9C17"/>
    <w:rsid w:val="2232142F"/>
    <w:rsid w:val="22A837E8"/>
    <w:rsid w:val="23FE0A3E"/>
    <w:rsid w:val="240B8781"/>
    <w:rsid w:val="24862D16"/>
    <w:rsid w:val="249C5511"/>
    <w:rsid w:val="24AF187E"/>
    <w:rsid w:val="24E16C29"/>
    <w:rsid w:val="24E24777"/>
    <w:rsid w:val="24F8A5F8"/>
    <w:rsid w:val="24FB79F6"/>
    <w:rsid w:val="251D4E18"/>
    <w:rsid w:val="253BFE68"/>
    <w:rsid w:val="254DDEB0"/>
    <w:rsid w:val="259599C2"/>
    <w:rsid w:val="25C44680"/>
    <w:rsid w:val="25D2F04F"/>
    <w:rsid w:val="2612F167"/>
    <w:rsid w:val="266931C6"/>
    <w:rsid w:val="2681140A"/>
    <w:rsid w:val="269A80D2"/>
    <w:rsid w:val="269D323A"/>
    <w:rsid w:val="278F62A1"/>
    <w:rsid w:val="27C11CD9"/>
    <w:rsid w:val="2865AA38"/>
    <w:rsid w:val="28E7EE50"/>
    <w:rsid w:val="28F12041"/>
    <w:rsid w:val="294E184A"/>
    <w:rsid w:val="29EE18BE"/>
    <w:rsid w:val="29EF0586"/>
    <w:rsid w:val="2A87E7A0"/>
    <w:rsid w:val="2C46748A"/>
    <w:rsid w:val="2C478DEE"/>
    <w:rsid w:val="2C794F7A"/>
    <w:rsid w:val="2CBEE518"/>
    <w:rsid w:val="2D08537C"/>
    <w:rsid w:val="2E9AB356"/>
    <w:rsid w:val="2EAF6FFB"/>
    <w:rsid w:val="2EB54FA0"/>
    <w:rsid w:val="2EDB2CC1"/>
    <w:rsid w:val="2EE43695"/>
    <w:rsid w:val="2F1AF8D1"/>
    <w:rsid w:val="2F3B81E2"/>
    <w:rsid w:val="2F510FBA"/>
    <w:rsid w:val="2F7596A2"/>
    <w:rsid w:val="2FC992E1"/>
    <w:rsid w:val="2FF471C0"/>
    <w:rsid w:val="3023D568"/>
    <w:rsid w:val="30311159"/>
    <w:rsid w:val="30E1E6C7"/>
    <w:rsid w:val="31256062"/>
    <w:rsid w:val="317043C4"/>
    <w:rsid w:val="318345E6"/>
    <w:rsid w:val="31D62E5C"/>
    <w:rsid w:val="3279F03F"/>
    <w:rsid w:val="3296A050"/>
    <w:rsid w:val="3331933E"/>
    <w:rsid w:val="333E4D62"/>
    <w:rsid w:val="3409844F"/>
    <w:rsid w:val="350319E6"/>
    <w:rsid w:val="352F899A"/>
    <w:rsid w:val="353B27DF"/>
    <w:rsid w:val="35815270"/>
    <w:rsid w:val="35AC2D13"/>
    <w:rsid w:val="35DCE8C2"/>
    <w:rsid w:val="35E4DACA"/>
    <w:rsid w:val="3614A7CE"/>
    <w:rsid w:val="370FDF92"/>
    <w:rsid w:val="372F039F"/>
    <w:rsid w:val="3734FAD1"/>
    <w:rsid w:val="376A7BB6"/>
    <w:rsid w:val="378A8105"/>
    <w:rsid w:val="37B3F660"/>
    <w:rsid w:val="38289203"/>
    <w:rsid w:val="384E673B"/>
    <w:rsid w:val="387A6D0F"/>
    <w:rsid w:val="39012906"/>
    <w:rsid w:val="3910EA92"/>
    <w:rsid w:val="3950DCB3"/>
    <w:rsid w:val="39679AFC"/>
    <w:rsid w:val="3A75283C"/>
    <w:rsid w:val="3E2F8954"/>
    <w:rsid w:val="3F00EBD2"/>
    <w:rsid w:val="3F6E47B9"/>
    <w:rsid w:val="3FFE6B87"/>
    <w:rsid w:val="40702DC2"/>
    <w:rsid w:val="40E56A8E"/>
    <w:rsid w:val="41019259"/>
    <w:rsid w:val="41430441"/>
    <w:rsid w:val="42367BF5"/>
    <w:rsid w:val="4240BBC3"/>
    <w:rsid w:val="43298006"/>
    <w:rsid w:val="4335B690"/>
    <w:rsid w:val="43824D32"/>
    <w:rsid w:val="4397E931"/>
    <w:rsid w:val="440E7537"/>
    <w:rsid w:val="444998F2"/>
    <w:rsid w:val="44AA501E"/>
    <w:rsid w:val="44C1347F"/>
    <w:rsid w:val="44C3E429"/>
    <w:rsid w:val="453F13F7"/>
    <w:rsid w:val="457362C0"/>
    <w:rsid w:val="459EC88A"/>
    <w:rsid w:val="45A6C65F"/>
    <w:rsid w:val="464DCCCF"/>
    <w:rsid w:val="468E2507"/>
    <w:rsid w:val="46CAF668"/>
    <w:rsid w:val="46FE40D7"/>
    <w:rsid w:val="471B802D"/>
    <w:rsid w:val="47B17140"/>
    <w:rsid w:val="47EE4671"/>
    <w:rsid w:val="47F09F1A"/>
    <w:rsid w:val="47F76A11"/>
    <w:rsid w:val="480A7BDC"/>
    <w:rsid w:val="481C74CF"/>
    <w:rsid w:val="485E8010"/>
    <w:rsid w:val="486016B0"/>
    <w:rsid w:val="4876EAEB"/>
    <w:rsid w:val="48A51B03"/>
    <w:rsid w:val="492A7A84"/>
    <w:rsid w:val="4959A8D1"/>
    <w:rsid w:val="495A1293"/>
    <w:rsid w:val="497043E5"/>
    <w:rsid w:val="49BBA937"/>
    <w:rsid w:val="49DB2590"/>
    <w:rsid w:val="4A2D2C7E"/>
    <w:rsid w:val="4A94300C"/>
    <w:rsid w:val="4B80DEA9"/>
    <w:rsid w:val="4BBD2A0A"/>
    <w:rsid w:val="4CA66277"/>
    <w:rsid w:val="4CBF6552"/>
    <w:rsid w:val="4D2385DB"/>
    <w:rsid w:val="4D9B3232"/>
    <w:rsid w:val="4DE85E24"/>
    <w:rsid w:val="4E00860E"/>
    <w:rsid w:val="4EA55CA2"/>
    <w:rsid w:val="4EC62BC8"/>
    <w:rsid w:val="4FD24ACB"/>
    <w:rsid w:val="50420B94"/>
    <w:rsid w:val="50570CBB"/>
    <w:rsid w:val="50774CCE"/>
    <w:rsid w:val="50BA7B71"/>
    <w:rsid w:val="50C9034D"/>
    <w:rsid w:val="50D8C4E1"/>
    <w:rsid w:val="510E4C38"/>
    <w:rsid w:val="51B5D294"/>
    <w:rsid w:val="51D1F918"/>
    <w:rsid w:val="51F31D8F"/>
    <w:rsid w:val="5248E24C"/>
    <w:rsid w:val="528A3C79"/>
    <w:rsid w:val="52D9CD5A"/>
    <w:rsid w:val="5363E6D9"/>
    <w:rsid w:val="53D99B79"/>
    <w:rsid w:val="53D9F294"/>
    <w:rsid w:val="53F231CB"/>
    <w:rsid w:val="545505F5"/>
    <w:rsid w:val="5476F5B8"/>
    <w:rsid w:val="55B47898"/>
    <w:rsid w:val="5602018B"/>
    <w:rsid w:val="56138252"/>
    <w:rsid w:val="570E09C5"/>
    <w:rsid w:val="5774AF1C"/>
    <w:rsid w:val="57BE890A"/>
    <w:rsid w:val="5805B184"/>
    <w:rsid w:val="58D133A7"/>
    <w:rsid w:val="5928B52D"/>
    <w:rsid w:val="593A8C8D"/>
    <w:rsid w:val="59542BE6"/>
    <w:rsid w:val="59B14300"/>
    <w:rsid w:val="59C3AE98"/>
    <w:rsid w:val="5A12D849"/>
    <w:rsid w:val="5A9CA1C2"/>
    <w:rsid w:val="5AAB5E81"/>
    <w:rsid w:val="5B319A0E"/>
    <w:rsid w:val="5BB511D8"/>
    <w:rsid w:val="5BE3CA36"/>
    <w:rsid w:val="5BE86078"/>
    <w:rsid w:val="5BFEA261"/>
    <w:rsid w:val="5CB0DF6C"/>
    <w:rsid w:val="5CEBFB18"/>
    <w:rsid w:val="5CF96C83"/>
    <w:rsid w:val="5DF3F196"/>
    <w:rsid w:val="5E046A24"/>
    <w:rsid w:val="5EC2C411"/>
    <w:rsid w:val="5FE94CBC"/>
    <w:rsid w:val="6056773E"/>
    <w:rsid w:val="60D93374"/>
    <w:rsid w:val="616BB081"/>
    <w:rsid w:val="62DA22AE"/>
    <w:rsid w:val="62DC3754"/>
    <w:rsid w:val="62EEEB33"/>
    <w:rsid w:val="636A9F33"/>
    <w:rsid w:val="6373A41A"/>
    <w:rsid w:val="6395A4C9"/>
    <w:rsid w:val="645CE9F9"/>
    <w:rsid w:val="647A077F"/>
    <w:rsid w:val="64B01988"/>
    <w:rsid w:val="64D77038"/>
    <w:rsid w:val="64F8EA92"/>
    <w:rsid w:val="65186DC4"/>
    <w:rsid w:val="65788D5E"/>
    <w:rsid w:val="676CC3D5"/>
    <w:rsid w:val="67AF48A6"/>
    <w:rsid w:val="67AF5266"/>
    <w:rsid w:val="67EC6783"/>
    <w:rsid w:val="68419B6D"/>
    <w:rsid w:val="68BDC9BD"/>
    <w:rsid w:val="69A99CF9"/>
    <w:rsid w:val="6A6C13C5"/>
    <w:rsid w:val="6A81128C"/>
    <w:rsid w:val="6A931534"/>
    <w:rsid w:val="6B0640F6"/>
    <w:rsid w:val="6BD17AF4"/>
    <w:rsid w:val="6C0C12F4"/>
    <w:rsid w:val="6C2D604F"/>
    <w:rsid w:val="6C3C559F"/>
    <w:rsid w:val="6CB236C5"/>
    <w:rsid w:val="6D3A7635"/>
    <w:rsid w:val="6E2865B2"/>
    <w:rsid w:val="6E381AFE"/>
    <w:rsid w:val="6E749937"/>
    <w:rsid w:val="6ED0A0C6"/>
    <w:rsid w:val="6EF938C5"/>
    <w:rsid w:val="6F0CD3C6"/>
    <w:rsid w:val="6F19BA3E"/>
    <w:rsid w:val="6F88707E"/>
    <w:rsid w:val="6F909796"/>
    <w:rsid w:val="6FC880B0"/>
    <w:rsid w:val="6FD5E124"/>
    <w:rsid w:val="6FE006D6"/>
    <w:rsid w:val="7038942E"/>
    <w:rsid w:val="706F4913"/>
    <w:rsid w:val="727740F0"/>
    <w:rsid w:val="729EFEC2"/>
    <w:rsid w:val="72B3C464"/>
    <w:rsid w:val="7325CB47"/>
    <w:rsid w:val="73C68BE2"/>
    <w:rsid w:val="73E314CE"/>
    <w:rsid w:val="7458781D"/>
    <w:rsid w:val="745CE850"/>
    <w:rsid w:val="7478FC77"/>
    <w:rsid w:val="74B46A17"/>
    <w:rsid w:val="74C54625"/>
    <w:rsid w:val="75E08FB2"/>
    <w:rsid w:val="762B5D11"/>
    <w:rsid w:val="7668D64D"/>
    <w:rsid w:val="76759827"/>
    <w:rsid w:val="76D8C369"/>
    <w:rsid w:val="772F3BE0"/>
    <w:rsid w:val="778A47F7"/>
    <w:rsid w:val="77B58A08"/>
    <w:rsid w:val="7856969F"/>
    <w:rsid w:val="78605B3E"/>
    <w:rsid w:val="78653092"/>
    <w:rsid w:val="789F083C"/>
    <w:rsid w:val="78B2709A"/>
    <w:rsid w:val="79464923"/>
    <w:rsid w:val="794BDFF7"/>
    <w:rsid w:val="7969EA32"/>
    <w:rsid w:val="7AAD45BC"/>
    <w:rsid w:val="7AD38667"/>
    <w:rsid w:val="7B4F19AF"/>
    <w:rsid w:val="7B5C3351"/>
    <w:rsid w:val="7B5C8BA9"/>
    <w:rsid w:val="7BAB7FC7"/>
    <w:rsid w:val="7C0AC325"/>
    <w:rsid w:val="7C0C0AF2"/>
    <w:rsid w:val="7C3B82E0"/>
    <w:rsid w:val="7C80A0F2"/>
    <w:rsid w:val="7CD042A3"/>
    <w:rsid w:val="7D9EF2E4"/>
    <w:rsid w:val="7DC4D734"/>
    <w:rsid w:val="7E730875"/>
    <w:rsid w:val="7E753A70"/>
    <w:rsid w:val="7E89AFA3"/>
    <w:rsid w:val="7EBDE313"/>
    <w:rsid w:val="7F264DF7"/>
    <w:rsid w:val="7F33CB5B"/>
    <w:rsid w:val="7F62B1D5"/>
    <w:rsid w:val="7FBFA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8126"/>
  <w15:chartTrackingRefBased/>
  <w15:docId w15:val="{8DD07997-5B4A-4C9B-BFDE-4D42790F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B62"/>
    <w:rPr>
      <w:sz w:val="24"/>
    </w:rPr>
  </w:style>
  <w:style w:type="paragraph" w:styleId="Heading1">
    <w:name w:val="heading 1"/>
    <w:basedOn w:val="Normal"/>
    <w:next w:val="Normal"/>
    <w:link w:val="Heading1Char"/>
    <w:uiPriority w:val="9"/>
    <w:qFormat/>
    <w:rsid w:val="009519E3"/>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9519E3"/>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9519E3"/>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9519E3"/>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9519E3"/>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9519E3"/>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9519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19E3"/>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9519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E3"/>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9519E3"/>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9519E3"/>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9519E3"/>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9519E3"/>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9519E3"/>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9519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19E3"/>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9519E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519E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9519E3"/>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9519E3"/>
    <w:pPr>
      <w:numPr>
        <w:ilvl w:val="1"/>
      </w:numPr>
    </w:pPr>
    <w:rPr>
      <w:rFonts w:asciiTheme="majorHAnsi" w:eastAsiaTheme="majorEastAsia" w:hAnsiTheme="majorHAnsi" w:cstheme="majorBidi"/>
      <w:i/>
      <w:iCs/>
      <w:color w:val="156082" w:themeColor="accent1"/>
      <w:spacing w:val="15"/>
      <w:szCs w:val="24"/>
    </w:rPr>
  </w:style>
  <w:style w:type="character" w:customStyle="1" w:styleId="SubtitleChar">
    <w:name w:val="Subtitle Char"/>
    <w:basedOn w:val="DefaultParagraphFont"/>
    <w:link w:val="Subtitle"/>
    <w:uiPriority w:val="11"/>
    <w:rsid w:val="009519E3"/>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9519E3"/>
    <w:rPr>
      <w:i/>
      <w:iCs/>
      <w:color w:val="000000" w:themeColor="text1"/>
    </w:rPr>
  </w:style>
  <w:style w:type="character" w:customStyle="1" w:styleId="QuoteChar">
    <w:name w:val="Quote Char"/>
    <w:basedOn w:val="DefaultParagraphFont"/>
    <w:link w:val="Quote"/>
    <w:uiPriority w:val="29"/>
    <w:rsid w:val="009519E3"/>
    <w:rPr>
      <w:i/>
      <w:iCs/>
      <w:color w:val="000000" w:themeColor="text1"/>
    </w:rPr>
  </w:style>
  <w:style w:type="paragraph" w:styleId="ListParagraph">
    <w:name w:val="List Paragraph"/>
    <w:basedOn w:val="Normal"/>
    <w:uiPriority w:val="34"/>
    <w:qFormat/>
    <w:rsid w:val="009519E3"/>
    <w:pPr>
      <w:ind w:left="720"/>
      <w:contextualSpacing/>
    </w:pPr>
  </w:style>
  <w:style w:type="character" w:styleId="IntenseEmphasis">
    <w:name w:val="Intense Emphasis"/>
    <w:basedOn w:val="DefaultParagraphFont"/>
    <w:uiPriority w:val="21"/>
    <w:qFormat/>
    <w:rsid w:val="009519E3"/>
    <w:rPr>
      <w:b/>
      <w:bCs/>
      <w:i/>
      <w:iCs/>
      <w:color w:val="156082" w:themeColor="accent1"/>
    </w:rPr>
  </w:style>
  <w:style w:type="paragraph" w:styleId="IntenseQuote">
    <w:name w:val="Intense Quote"/>
    <w:basedOn w:val="Normal"/>
    <w:next w:val="Normal"/>
    <w:link w:val="IntenseQuoteChar"/>
    <w:uiPriority w:val="30"/>
    <w:qFormat/>
    <w:rsid w:val="009519E3"/>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9519E3"/>
    <w:rPr>
      <w:b/>
      <w:bCs/>
      <w:i/>
      <w:iCs/>
      <w:color w:val="156082" w:themeColor="accent1"/>
    </w:rPr>
  </w:style>
  <w:style w:type="character" w:styleId="IntenseReference">
    <w:name w:val="Intense Reference"/>
    <w:basedOn w:val="DefaultParagraphFont"/>
    <w:uiPriority w:val="32"/>
    <w:qFormat/>
    <w:rsid w:val="009519E3"/>
    <w:rPr>
      <w:b/>
      <w:bCs/>
      <w:smallCaps/>
      <w:color w:val="E97132" w:themeColor="accent2"/>
      <w:spacing w:val="5"/>
      <w:u w:val="single"/>
    </w:rPr>
  </w:style>
  <w:style w:type="paragraph" w:styleId="Caption">
    <w:name w:val="caption"/>
    <w:basedOn w:val="Normal"/>
    <w:next w:val="Normal"/>
    <w:uiPriority w:val="35"/>
    <w:semiHidden/>
    <w:unhideWhenUsed/>
    <w:qFormat/>
    <w:rsid w:val="009519E3"/>
    <w:pPr>
      <w:spacing w:line="240" w:lineRule="auto"/>
    </w:pPr>
    <w:rPr>
      <w:b/>
      <w:bCs/>
      <w:color w:val="156082" w:themeColor="accent1"/>
      <w:sz w:val="18"/>
      <w:szCs w:val="18"/>
    </w:rPr>
  </w:style>
  <w:style w:type="character" w:styleId="Strong">
    <w:name w:val="Strong"/>
    <w:basedOn w:val="DefaultParagraphFont"/>
    <w:uiPriority w:val="22"/>
    <w:qFormat/>
    <w:rsid w:val="009519E3"/>
    <w:rPr>
      <w:b/>
      <w:bCs/>
    </w:rPr>
  </w:style>
  <w:style w:type="character" w:styleId="Emphasis">
    <w:name w:val="Emphasis"/>
    <w:basedOn w:val="DefaultParagraphFont"/>
    <w:uiPriority w:val="20"/>
    <w:qFormat/>
    <w:rsid w:val="009519E3"/>
    <w:rPr>
      <w:i/>
      <w:iCs/>
    </w:rPr>
  </w:style>
  <w:style w:type="paragraph" w:styleId="NoSpacing">
    <w:name w:val="No Spacing"/>
    <w:link w:val="NoSpacingChar"/>
    <w:uiPriority w:val="1"/>
    <w:qFormat/>
    <w:rsid w:val="009519E3"/>
    <w:pPr>
      <w:spacing w:after="0" w:line="240" w:lineRule="auto"/>
    </w:pPr>
  </w:style>
  <w:style w:type="character" w:customStyle="1" w:styleId="NoSpacingChar">
    <w:name w:val="No Spacing Char"/>
    <w:basedOn w:val="DefaultParagraphFont"/>
    <w:link w:val="NoSpacing"/>
    <w:uiPriority w:val="1"/>
    <w:rsid w:val="00C303E5"/>
  </w:style>
  <w:style w:type="character" w:styleId="SubtleEmphasis">
    <w:name w:val="Subtle Emphasis"/>
    <w:basedOn w:val="DefaultParagraphFont"/>
    <w:uiPriority w:val="19"/>
    <w:qFormat/>
    <w:rsid w:val="009519E3"/>
    <w:rPr>
      <w:i/>
      <w:iCs/>
      <w:color w:val="808080" w:themeColor="text1" w:themeTint="7F"/>
    </w:rPr>
  </w:style>
  <w:style w:type="character" w:styleId="SubtleReference">
    <w:name w:val="Subtle Reference"/>
    <w:basedOn w:val="DefaultParagraphFont"/>
    <w:uiPriority w:val="31"/>
    <w:qFormat/>
    <w:rsid w:val="009519E3"/>
    <w:rPr>
      <w:smallCaps/>
      <w:color w:val="E97132" w:themeColor="accent2"/>
      <w:u w:val="single"/>
    </w:rPr>
  </w:style>
  <w:style w:type="character" w:styleId="BookTitle">
    <w:name w:val="Book Title"/>
    <w:basedOn w:val="DefaultParagraphFont"/>
    <w:uiPriority w:val="33"/>
    <w:qFormat/>
    <w:rsid w:val="009519E3"/>
    <w:rPr>
      <w:b/>
      <w:bCs/>
      <w:smallCaps/>
      <w:spacing w:val="5"/>
    </w:rPr>
  </w:style>
  <w:style w:type="paragraph" w:styleId="TOCHeading">
    <w:name w:val="TOC Heading"/>
    <w:basedOn w:val="Heading1"/>
    <w:next w:val="Normal"/>
    <w:uiPriority w:val="39"/>
    <w:semiHidden/>
    <w:unhideWhenUsed/>
    <w:qFormat/>
    <w:rsid w:val="009519E3"/>
    <w:pPr>
      <w:outlineLvl w:val="9"/>
    </w:pPr>
  </w:style>
  <w:style w:type="paragraph" w:customStyle="1" w:styleId="PersonalName">
    <w:name w:val="Personal Name"/>
    <w:basedOn w:val="Title"/>
    <w:rsid w:val="00C303E5"/>
    <w:rPr>
      <w:b/>
      <w:caps/>
      <w:color w:val="000000"/>
      <w:sz w:val="28"/>
      <w:szCs w:val="28"/>
    </w:rPr>
  </w:style>
  <w:style w:type="paragraph" w:styleId="NormalWeb">
    <w:name w:val="Normal (Web)"/>
    <w:basedOn w:val="Normal"/>
    <w:uiPriority w:val="99"/>
    <w:semiHidden/>
    <w:unhideWhenUsed/>
    <w:rsid w:val="00E00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402"/>
  </w:style>
  <w:style w:type="character" w:customStyle="1" w:styleId="apple-converted-space">
    <w:name w:val="apple-converted-space"/>
    <w:basedOn w:val="DefaultParagraphFont"/>
    <w:rsid w:val="00E84402"/>
  </w:style>
  <w:style w:type="table" w:styleId="TableGrid">
    <w:name w:val="Table Grid"/>
    <w:basedOn w:val="TableNormal"/>
    <w:uiPriority w:val="39"/>
    <w:rsid w:val="00653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22A837E8"/>
    <w:pPr>
      <w:spacing w:after="0" w:line="240" w:lineRule="auto"/>
    </w:pPr>
  </w:style>
  <w:style w:type="character" w:customStyle="1" w:styleId="FooterChar">
    <w:name w:val="Footer Char"/>
    <w:basedOn w:val="DefaultParagraphFont"/>
    <w:link w:val="Footer"/>
    <w:uiPriority w:val="99"/>
    <w:rsid w:val="22A837E8"/>
  </w:style>
  <w:style w:type="paragraph" w:styleId="Header">
    <w:name w:val="header"/>
    <w:basedOn w:val="Normal"/>
    <w:link w:val="HeaderChar"/>
    <w:uiPriority w:val="99"/>
    <w:unhideWhenUsed/>
    <w:rsid w:val="22A837E8"/>
    <w:pPr>
      <w:spacing w:after="0" w:line="240" w:lineRule="auto"/>
    </w:pPr>
  </w:style>
  <w:style w:type="character" w:customStyle="1" w:styleId="HeaderChar">
    <w:name w:val="Header Char"/>
    <w:basedOn w:val="DefaultParagraphFont"/>
    <w:link w:val="Header"/>
    <w:uiPriority w:val="99"/>
    <w:rsid w:val="22A837E8"/>
  </w:style>
  <w:style w:type="character" w:customStyle="1" w:styleId="eop">
    <w:name w:val="eop"/>
    <w:basedOn w:val="DefaultParagraphFont"/>
    <w:uiPriority w:val="1"/>
    <w:rsid w:val="106549D5"/>
    <w:rPr>
      <w:rFonts w:asciiTheme="minorHAnsi" w:eastAsiaTheme="minorEastAsia" w:hAnsiTheme="minorHAnsi" w:cstheme="minorBidi"/>
      <w:sz w:val="22"/>
      <w:szCs w:val="22"/>
    </w:rPr>
  </w:style>
  <w:style w:type="character" w:styleId="Hyperlink">
    <w:name w:val="Hyperlink"/>
    <w:basedOn w:val="DefaultParagraphFont"/>
    <w:uiPriority w:val="99"/>
    <w:unhideWhenUsed/>
    <w:rsid w:val="106549D5"/>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2961">
      <w:bodyDiv w:val="1"/>
      <w:marLeft w:val="0"/>
      <w:marRight w:val="0"/>
      <w:marTop w:val="0"/>
      <w:marBottom w:val="0"/>
      <w:divBdr>
        <w:top w:val="none" w:sz="0" w:space="0" w:color="auto"/>
        <w:left w:val="none" w:sz="0" w:space="0" w:color="auto"/>
        <w:bottom w:val="none" w:sz="0" w:space="0" w:color="auto"/>
        <w:right w:val="none" w:sz="0" w:space="0" w:color="auto"/>
      </w:divBdr>
      <w:divsChild>
        <w:div w:id="1191795399">
          <w:marLeft w:val="0"/>
          <w:marRight w:val="0"/>
          <w:marTop w:val="0"/>
          <w:marBottom w:val="0"/>
          <w:divBdr>
            <w:top w:val="none" w:sz="0" w:space="0" w:color="auto"/>
            <w:left w:val="none" w:sz="0" w:space="0" w:color="auto"/>
            <w:bottom w:val="none" w:sz="0" w:space="0" w:color="auto"/>
            <w:right w:val="none" w:sz="0" w:space="0" w:color="auto"/>
          </w:divBdr>
        </w:div>
      </w:divsChild>
    </w:div>
    <w:div w:id="1140273028">
      <w:bodyDiv w:val="1"/>
      <w:marLeft w:val="0"/>
      <w:marRight w:val="0"/>
      <w:marTop w:val="0"/>
      <w:marBottom w:val="0"/>
      <w:divBdr>
        <w:top w:val="none" w:sz="0" w:space="0" w:color="auto"/>
        <w:left w:val="none" w:sz="0" w:space="0" w:color="auto"/>
        <w:bottom w:val="none" w:sz="0" w:space="0" w:color="auto"/>
        <w:right w:val="none" w:sz="0" w:space="0" w:color="auto"/>
      </w:divBdr>
      <w:divsChild>
        <w:div w:id="803741213">
          <w:marLeft w:val="0"/>
          <w:marRight w:val="0"/>
          <w:marTop w:val="0"/>
          <w:marBottom w:val="0"/>
          <w:divBdr>
            <w:top w:val="none" w:sz="0" w:space="0" w:color="auto"/>
            <w:left w:val="none" w:sz="0" w:space="0" w:color="auto"/>
            <w:bottom w:val="none" w:sz="0" w:space="0" w:color="auto"/>
            <w:right w:val="none" w:sz="0" w:space="0" w:color="auto"/>
          </w:divBdr>
        </w:div>
      </w:divsChild>
    </w:div>
    <w:div w:id="1260531230">
      <w:bodyDiv w:val="1"/>
      <w:marLeft w:val="0"/>
      <w:marRight w:val="0"/>
      <w:marTop w:val="0"/>
      <w:marBottom w:val="0"/>
      <w:divBdr>
        <w:top w:val="none" w:sz="0" w:space="0" w:color="auto"/>
        <w:left w:val="none" w:sz="0" w:space="0" w:color="auto"/>
        <w:bottom w:val="none" w:sz="0" w:space="0" w:color="auto"/>
        <w:right w:val="none" w:sz="0" w:space="0" w:color="auto"/>
      </w:divBdr>
      <w:divsChild>
        <w:div w:id="2138139928">
          <w:marLeft w:val="0"/>
          <w:marRight w:val="0"/>
          <w:marTop w:val="0"/>
          <w:marBottom w:val="0"/>
          <w:divBdr>
            <w:top w:val="none" w:sz="0" w:space="0" w:color="auto"/>
            <w:left w:val="none" w:sz="0" w:space="0" w:color="auto"/>
            <w:bottom w:val="none" w:sz="0" w:space="0" w:color="auto"/>
            <w:right w:val="none" w:sz="0" w:space="0" w:color="auto"/>
          </w:divBdr>
        </w:div>
      </w:divsChild>
    </w:div>
    <w:div w:id="1495298346">
      <w:bodyDiv w:val="1"/>
      <w:marLeft w:val="0"/>
      <w:marRight w:val="0"/>
      <w:marTop w:val="0"/>
      <w:marBottom w:val="0"/>
      <w:divBdr>
        <w:top w:val="none" w:sz="0" w:space="0" w:color="auto"/>
        <w:left w:val="none" w:sz="0" w:space="0" w:color="auto"/>
        <w:bottom w:val="none" w:sz="0" w:space="0" w:color="auto"/>
        <w:right w:val="none" w:sz="0" w:space="0" w:color="auto"/>
      </w:divBdr>
      <w:divsChild>
        <w:div w:id="998533246">
          <w:marLeft w:val="0"/>
          <w:marRight w:val="0"/>
          <w:marTop w:val="0"/>
          <w:marBottom w:val="0"/>
          <w:divBdr>
            <w:top w:val="none" w:sz="0" w:space="0" w:color="auto"/>
            <w:left w:val="none" w:sz="0" w:space="0" w:color="auto"/>
            <w:bottom w:val="none" w:sz="0" w:space="0" w:color="auto"/>
            <w:right w:val="none" w:sz="0" w:space="0" w:color="auto"/>
          </w:divBdr>
        </w:div>
      </w:divsChild>
    </w:div>
    <w:div w:id="1563832202">
      <w:bodyDiv w:val="1"/>
      <w:marLeft w:val="0"/>
      <w:marRight w:val="0"/>
      <w:marTop w:val="0"/>
      <w:marBottom w:val="0"/>
      <w:divBdr>
        <w:top w:val="none" w:sz="0" w:space="0" w:color="auto"/>
        <w:left w:val="none" w:sz="0" w:space="0" w:color="auto"/>
        <w:bottom w:val="none" w:sz="0" w:space="0" w:color="auto"/>
        <w:right w:val="none" w:sz="0" w:space="0" w:color="auto"/>
      </w:divBdr>
      <w:divsChild>
        <w:div w:id="1384907031">
          <w:marLeft w:val="0"/>
          <w:marRight w:val="0"/>
          <w:marTop w:val="0"/>
          <w:marBottom w:val="0"/>
          <w:divBdr>
            <w:top w:val="none" w:sz="0" w:space="0" w:color="auto"/>
            <w:left w:val="none" w:sz="0" w:space="0" w:color="auto"/>
            <w:bottom w:val="none" w:sz="0" w:space="0" w:color="auto"/>
            <w:right w:val="none" w:sz="0" w:space="0" w:color="auto"/>
          </w:divBdr>
        </w:div>
      </w:divsChild>
    </w:div>
    <w:div w:id="1683966914">
      <w:bodyDiv w:val="1"/>
      <w:marLeft w:val="0"/>
      <w:marRight w:val="0"/>
      <w:marTop w:val="0"/>
      <w:marBottom w:val="0"/>
      <w:divBdr>
        <w:top w:val="none" w:sz="0" w:space="0" w:color="auto"/>
        <w:left w:val="none" w:sz="0" w:space="0" w:color="auto"/>
        <w:bottom w:val="none" w:sz="0" w:space="0" w:color="auto"/>
        <w:right w:val="none" w:sz="0" w:space="0" w:color="auto"/>
      </w:divBdr>
      <w:divsChild>
        <w:div w:id="599148625">
          <w:marLeft w:val="0"/>
          <w:marRight w:val="0"/>
          <w:marTop w:val="0"/>
          <w:marBottom w:val="0"/>
          <w:divBdr>
            <w:top w:val="none" w:sz="0" w:space="0" w:color="auto"/>
            <w:left w:val="none" w:sz="0" w:space="0" w:color="auto"/>
            <w:bottom w:val="none" w:sz="0" w:space="0" w:color="auto"/>
            <w:right w:val="none" w:sz="0" w:space="0" w:color="auto"/>
          </w:divBdr>
        </w:div>
      </w:divsChild>
    </w:div>
    <w:div w:id="1735544826">
      <w:bodyDiv w:val="1"/>
      <w:marLeft w:val="0"/>
      <w:marRight w:val="0"/>
      <w:marTop w:val="0"/>
      <w:marBottom w:val="0"/>
      <w:divBdr>
        <w:top w:val="none" w:sz="0" w:space="0" w:color="auto"/>
        <w:left w:val="none" w:sz="0" w:space="0" w:color="auto"/>
        <w:bottom w:val="none" w:sz="0" w:space="0" w:color="auto"/>
        <w:right w:val="none" w:sz="0" w:space="0" w:color="auto"/>
      </w:divBdr>
      <w:divsChild>
        <w:div w:id="1538202378">
          <w:marLeft w:val="0"/>
          <w:marRight w:val="0"/>
          <w:marTop w:val="0"/>
          <w:marBottom w:val="0"/>
          <w:divBdr>
            <w:top w:val="none" w:sz="0" w:space="0" w:color="auto"/>
            <w:left w:val="none" w:sz="0" w:space="0" w:color="auto"/>
            <w:bottom w:val="none" w:sz="0" w:space="0" w:color="auto"/>
            <w:right w:val="none" w:sz="0" w:space="0" w:color="auto"/>
          </w:divBdr>
        </w:div>
      </w:divsChild>
    </w:div>
    <w:div w:id="1810398462">
      <w:bodyDiv w:val="1"/>
      <w:marLeft w:val="0"/>
      <w:marRight w:val="0"/>
      <w:marTop w:val="0"/>
      <w:marBottom w:val="0"/>
      <w:divBdr>
        <w:top w:val="none" w:sz="0" w:space="0" w:color="auto"/>
        <w:left w:val="none" w:sz="0" w:space="0" w:color="auto"/>
        <w:bottom w:val="none" w:sz="0" w:space="0" w:color="auto"/>
        <w:right w:val="none" w:sz="0" w:space="0" w:color="auto"/>
      </w:divBdr>
      <w:divsChild>
        <w:div w:id="1465268177">
          <w:marLeft w:val="0"/>
          <w:marRight w:val="0"/>
          <w:marTop w:val="0"/>
          <w:marBottom w:val="0"/>
          <w:divBdr>
            <w:top w:val="none" w:sz="0" w:space="0" w:color="auto"/>
            <w:left w:val="none" w:sz="0" w:space="0" w:color="auto"/>
            <w:bottom w:val="none" w:sz="0" w:space="0" w:color="auto"/>
            <w:right w:val="none" w:sz="0" w:space="0" w:color="auto"/>
          </w:divBdr>
        </w:div>
      </w:divsChild>
    </w:div>
    <w:div w:id="1838302128">
      <w:bodyDiv w:val="1"/>
      <w:marLeft w:val="0"/>
      <w:marRight w:val="0"/>
      <w:marTop w:val="0"/>
      <w:marBottom w:val="0"/>
      <w:divBdr>
        <w:top w:val="none" w:sz="0" w:space="0" w:color="auto"/>
        <w:left w:val="none" w:sz="0" w:space="0" w:color="auto"/>
        <w:bottom w:val="none" w:sz="0" w:space="0" w:color="auto"/>
        <w:right w:val="none" w:sz="0" w:space="0" w:color="auto"/>
      </w:divBdr>
      <w:divsChild>
        <w:div w:id="438570715">
          <w:marLeft w:val="0"/>
          <w:marRight w:val="0"/>
          <w:marTop w:val="0"/>
          <w:marBottom w:val="0"/>
          <w:divBdr>
            <w:top w:val="none" w:sz="0" w:space="0" w:color="auto"/>
            <w:left w:val="none" w:sz="0" w:space="0" w:color="auto"/>
            <w:bottom w:val="none" w:sz="0" w:space="0" w:color="auto"/>
            <w:right w:val="none" w:sz="0" w:space="0" w:color="auto"/>
          </w:divBdr>
        </w:div>
      </w:divsChild>
    </w:div>
    <w:div w:id="1904826164">
      <w:bodyDiv w:val="1"/>
      <w:marLeft w:val="0"/>
      <w:marRight w:val="0"/>
      <w:marTop w:val="0"/>
      <w:marBottom w:val="0"/>
      <w:divBdr>
        <w:top w:val="none" w:sz="0" w:space="0" w:color="auto"/>
        <w:left w:val="none" w:sz="0" w:space="0" w:color="auto"/>
        <w:bottom w:val="none" w:sz="0" w:space="0" w:color="auto"/>
        <w:right w:val="none" w:sz="0" w:space="0" w:color="auto"/>
      </w:divBdr>
      <w:divsChild>
        <w:div w:id="53149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searchersupport.leed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1c997-299c-4aa1-b719-8eecec74ad8f" xsi:nil="true"/>
    <lcf76f155ced4ddcb4097134ff3c332f xmlns="dfd7c8f9-226b-4ced-8bf7-b0dde14efe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ECC2F443171479D5EF6A6E9A154DE" ma:contentTypeVersion="17" ma:contentTypeDescription="Create a new document." ma:contentTypeScope="" ma:versionID="5c0a1c13192cb0e4d3facd5ebf312d35">
  <xsd:schema xmlns:xsd="http://www.w3.org/2001/XMLSchema" xmlns:xs="http://www.w3.org/2001/XMLSchema" xmlns:p="http://schemas.microsoft.com/office/2006/metadata/properties" xmlns:ns2="dfd7c8f9-226b-4ced-8bf7-b0dde14efede" xmlns:ns3="9df1c997-299c-4aa1-b719-8eecec74ad8f" targetNamespace="http://schemas.microsoft.com/office/2006/metadata/properties" ma:root="true" ma:fieldsID="c2935311cc889390c36eab28883e7339" ns2:_="" ns3:_="">
    <xsd:import namespace="dfd7c8f9-226b-4ced-8bf7-b0dde14efede"/>
    <xsd:import namespace="9df1c997-299c-4aa1-b719-8eecec74a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7c8f9-226b-4ced-8bf7-b0dde14e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c997-299c-4aa1-b719-8eecec74ad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334747-ac92-4934-aead-b0ceea3857aa}" ma:internalName="TaxCatchAll" ma:showField="CatchAllData" ma:web="9df1c997-299c-4aa1-b719-8eecec74a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DCC3C-F663-4C7F-90B4-6E3C43FCCAA2}">
  <ds:schemaRefs>
    <ds:schemaRef ds:uri="http://schemas.microsoft.com/office/2006/metadata/properties"/>
    <ds:schemaRef ds:uri="http://schemas.microsoft.com/office/infopath/2007/PartnerControls"/>
    <ds:schemaRef ds:uri="9df1c997-299c-4aa1-b719-8eecec74ad8f"/>
    <ds:schemaRef ds:uri="dfd7c8f9-226b-4ced-8bf7-b0dde14efede"/>
  </ds:schemaRefs>
</ds:datastoreItem>
</file>

<file path=customXml/itemProps2.xml><?xml version="1.0" encoding="utf-8"?>
<ds:datastoreItem xmlns:ds="http://schemas.openxmlformats.org/officeDocument/2006/customXml" ds:itemID="{786AB79E-9102-46B2-B234-139DFF875068}">
  <ds:schemaRefs>
    <ds:schemaRef ds:uri="http://schemas.microsoft.com/sharepoint/v3/contenttype/forms"/>
  </ds:schemaRefs>
</ds:datastoreItem>
</file>

<file path=customXml/itemProps3.xml><?xml version="1.0" encoding="utf-8"?>
<ds:datastoreItem xmlns:ds="http://schemas.openxmlformats.org/officeDocument/2006/customXml" ds:itemID="{89036597-B342-4499-86CC-9B0CB4EA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7c8f9-226b-4ced-8bf7-b0dde14efede"/>
    <ds:schemaRef ds:uri="9df1c997-299c-4aa1-b719-8eecec74a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4586</Words>
  <Characters>26146</Characters>
  <Application>Microsoft Office Word</Application>
  <DocSecurity>0</DocSecurity>
  <Lines>217</Lines>
  <Paragraphs>61</Paragraphs>
  <ScaleCrop>false</ScaleCrop>
  <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Spary</dc:creator>
  <cp:keywords/>
  <dc:description/>
  <cp:lastModifiedBy>Emma Spary</cp:lastModifiedBy>
  <cp:revision>104</cp:revision>
  <dcterms:created xsi:type="dcterms:W3CDTF">2026-03-03T00:04:00Z</dcterms:created>
  <dcterms:modified xsi:type="dcterms:W3CDTF">2026-03-13T14:23:00Z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0x0101007BFECC2F443171479D5EF6A6E9A154DE</vt:lpwstr>
  </property>
  <property fmtid="{D5CDD505-2E9C-101B-9397-08002B2CF9AE}" pid="3" name="MediaServiceImageTags">
    <vt:lpwstr/>
  </property>
</Properties>
</file>